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F2A1" w14:textId="77777777" w:rsidR="007F2F46" w:rsidRPr="007F2F46" w:rsidRDefault="007F2F46" w:rsidP="007F2F4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іМоРе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№99.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Новые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подходы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к корпоративному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управлению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в банках</w:t>
      </w:r>
    </w:p>
    <w:p w14:paraId="122DF38A" w14:textId="44B44B42" w:rsidR="007F2F46" w:rsidRPr="007F2F46" w:rsidRDefault="007F2F46" w:rsidP="007F2F4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Индекс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мониторинга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реформ (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іМоРе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составил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+0,6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балла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период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с 26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ноября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до 9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декабря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2018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года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из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возможных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значений от -5,0 до +5,0. В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предыдущем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раунде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индекс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равен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+0,5 </w:t>
      </w:r>
      <w:proofErr w:type="spellStart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балла</w:t>
      </w:r>
      <w:proofErr w:type="spellEnd"/>
      <w:r w:rsidRPr="007F2F4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.</w:t>
      </w:r>
    </w:p>
    <w:p w14:paraId="07E4C1F0" w14:textId="77777777" w:rsidR="007F2F46" w:rsidRPr="007F2F46" w:rsidRDefault="007F2F46" w:rsidP="007F2F4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Главное</w:t>
      </w:r>
      <w:proofErr w:type="spellEnd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событие</w:t>
      </w:r>
      <w:proofErr w:type="spellEnd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этого</w:t>
      </w:r>
      <w:proofErr w:type="spellEnd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раунда</w:t>
      </w:r>
      <w:proofErr w:type="spellEnd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 xml:space="preserve"> - </w:t>
      </w:r>
      <w:proofErr w:type="spellStart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утверждение</w:t>
      </w:r>
      <w:proofErr w:type="spellEnd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методических</w:t>
      </w:r>
      <w:proofErr w:type="spellEnd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рекомендаций</w:t>
      </w:r>
      <w:proofErr w:type="spellEnd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по </w:t>
      </w:r>
      <w:proofErr w:type="spellStart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организации</w:t>
      </w:r>
      <w:proofErr w:type="spellEnd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 xml:space="preserve"> корпоративного </w:t>
      </w:r>
      <w:proofErr w:type="spellStart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управления</w:t>
      </w:r>
      <w:proofErr w:type="spellEnd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 xml:space="preserve"> в банках </w:t>
      </w:r>
      <w:proofErr w:type="spellStart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Украины</w:t>
      </w:r>
      <w:proofErr w:type="spellEnd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 xml:space="preserve"> (+2,0 </w:t>
      </w:r>
      <w:proofErr w:type="spellStart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балла</w:t>
      </w:r>
      <w:proofErr w:type="spellEnd"/>
      <w:r w:rsidRPr="007F2F46">
        <w:rPr>
          <w:rFonts w:ascii="Georgia" w:eastAsia="Times New Roman" w:hAnsi="Georgia" w:cs="Times New Roman"/>
          <w:color w:val="000000"/>
          <w:sz w:val="24"/>
          <w:szCs w:val="24"/>
        </w:rPr>
        <w:t>).</w:t>
      </w:r>
    </w:p>
    <w:p w14:paraId="28249F7D" w14:textId="77777777" w:rsidR="007F2F46" w:rsidRDefault="007F2F46" w:rsidP="00D026EE">
      <w:pPr>
        <w:spacing w:before="200"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14:paraId="4DE2422C" w14:textId="0E247837" w:rsidR="00EE54FC" w:rsidRPr="005670CB" w:rsidRDefault="00EE54FC" w:rsidP="00D026EE">
      <w:pPr>
        <w:spacing w:before="200" w:after="0" w:line="240" w:lineRule="auto"/>
        <w:jc w:val="both"/>
        <w:rPr>
          <w:rFonts w:ascii="Georgia" w:eastAsia="Times New Roman" w:hAnsi="Georgia" w:cs="Arial"/>
          <w:b/>
          <w:bCs/>
          <w:color w:val="244061" w:themeColor="accent1" w:themeShade="80"/>
          <w:lang w:val="ru-RU"/>
        </w:rPr>
      </w:pPr>
      <w:r w:rsidRPr="005670CB">
        <w:rPr>
          <w:rFonts w:ascii="Georgia" w:eastAsia="Times New Roman" w:hAnsi="Georgia" w:cs="Arial"/>
          <w:b/>
          <w:bCs/>
          <w:color w:val="244061" w:themeColor="accent1" w:themeShade="80"/>
          <w:lang w:val="ru-RU"/>
        </w:rPr>
        <w:t>График 1. Дина</w:t>
      </w:r>
      <w:r w:rsidR="001D262C" w:rsidRPr="005670CB">
        <w:rPr>
          <w:rFonts w:ascii="Georgia" w:eastAsia="Times New Roman" w:hAnsi="Georgia" w:cs="Arial"/>
          <w:b/>
          <w:bCs/>
          <w:color w:val="244061" w:themeColor="accent1" w:themeShade="80"/>
          <w:lang w:val="ru-RU"/>
        </w:rPr>
        <w:t>мика Индекса мониторинга реформ</w:t>
      </w:r>
    </w:p>
    <w:p w14:paraId="48E383A3" w14:textId="2CC4E44F" w:rsidR="008F650F" w:rsidRDefault="007F2F46" w:rsidP="00EB2150">
      <w:pPr>
        <w:pStyle w:val="ae"/>
        <w:spacing w:before="200" w:beforeAutospacing="0" w:after="0" w:afterAutospacing="0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  <w:r>
        <w:rPr>
          <w:rFonts w:ascii="Georgia" w:eastAsia="Times New Roman" w:hAnsi="Georgia" w:cstheme="minorHAnsi"/>
          <w:b/>
          <w:bCs/>
          <w:noProof/>
          <w:color w:val="244061" w:themeColor="accent1" w:themeShade="80"/>
          <w:sz w:val="22"/>
          <w:szCs w:val="22"/>
          <w:lang w:val="ru-RU"/>
        </w:rPr>
        <w:drawing>
          <wp:inline distT="0" distB="0" distL="0" distR="0" wp14:anchorId="18777DA6" wp14:editId="365FCFA4">
            <wp:extent cx="4904762" cy="283809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0F9D0" w14:textId="77777777" w:rsidR="007F2F46" w:rsidRDefault="007F2F46" w:rsidP="00EB2150">
      <w:pPr>
        <w:pStyle w:val="ae"/>
        <w:spacing w:before="200" w:beforeAutospacing="0" w:after="0" w:afterAutospacing="0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</w:p>
    <w:p w14:paraId="258A38D9" w14:textId="23027DCD" w:rsidR="00EB2150" w:rsidRPr="005670CB" w:rsidRDefault="00EB2150" w:rsidP="00EB2150">
      <w:pPr>
        <w:pStyle w:val="ae"/>
        <w:spacing w:before="200" w:beforeAutospacing="0" w:after="0" w:afterAutospacing="0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 xml:space="preserve">График 2. Значение </w:t>
      </w:r>
      <w:proofErr w:type="spellStart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>іМоРе</w:t>
      </w:r>
      <w:proofErr w:type="spellEnd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 xml:space="preserve"> и его компонентов в текущем раунде оценивания</w:t>
      </w:r>
    </w:p>
    <w:p w14:paraId="518CD252" w14:textId="10522E4B" w:rsidR="00EB2150" w:rsidRPr="005670CB" w:rsidRDefault="00EB2150" w:rsidP="00EB2150">
      <w:pPr>
        <w:pStyle w:val="ae"/>
        <w:spacing w:before="200" w:beforeAutospacing="0" w:after="0" w:afterAutospacing="0"/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</w:pPr>
      <w:r w:rsidRPr="005670CB">
        <w:rPr>
          <w:rFonts w:ascii="Georgia" w:hAnsi="Georgia" w:cstheme="minorHAnsi"/>
          <w:noProof/>
          <w:lang w:val="ru-RU"/>
        </w:rPr>
        <w:drawing>
          <wp:inline distT="0" distB="0" distL="0" distR="0" wp14:anchorId="5DE7EA92" wp14:editId="436C0B83">
            <wp:extent cx="4591050" cy="19335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C304E5" w14:textId="77777777" w:rsidR="00F1211F" w:rsidRDefault="00F1211F" w:rsidP="00D026EE">
      <w:pPr>
        <w:pStyle w:val="ae"/>
        <w:spacing w:before="200" w:beforeAutospacing="0" w:after="0" w:afterAutospacing="0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14:paraId="6EBFD4F3" w14:textId="3048F382" w:rsidR="007F2F46" w:rsidRPr="007F2F46" w:rsidRDefault="007F2F46" w:rsidP="007F2F46">
      <w:pPr>
        <w:pStyle w:val="ae"/>
        <w:spacing w:before="240" w:beforeAutospacing="0" w:after="0" w:afterAutospacing="0"/>
        <w:jc w:val="both"/>
      </w:pPr>
      <w:proofErr w:type="spellStart"/>
      <w:r w:rsidRPr="007F2F46">
        <w:rPr>
          <w:rFonts w:ascii="Georgia" w:hAnsi="Georgia"/>
          <w:b/>
          <w:bCs/>
          <w:color w:val="000000"/>
        </w:rPr>
        <w:lastRenderedPageBreak/>
        <w:t>Главное</w:t>
      </w:r>
      <w:proofErr w:type="spellEnd"/>
      <w:r w:rsidRPr="007F2F46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7F2F46">
        <w:rPr>
          <w:rFonts w:ascii="Georgia" w:hAnsi="Georgia"/>
          <w:b/>
          <w:bCs/>
          <w:color w:val="000000"/>
        </w:rPr>
        <w:t>событие</w:t>
      </w:r>
      <w:proofErr w:type="spellEnd"/>
      <w:r w:rsidRPr="007F2F46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7F2F46">
        <w:rPr>
          <w:rFonts w:ascii="Georgia" w:hAnsi="Georgia"/>
          <w:b/>
          <w:bCs/>
          <w:color w:val="000000"/>
        </w:rPr>
        <w:t>раунда</w:t>
      </w:r>
      <w:proofErr w:type="spellEnd"/>
    </w:p>
    <w:p w14:paraId="505951A2" w14:textId="53EC0BEA" w:rsidR="007F2F46" w:rsidRDefault="007F2F46" w:rsidP="007F2F46">
      <w:pPr>
        <w:pStyle w:val="ae"/>
        <w:spacing w:before="240" w:beforeAutospacing="0" w:after="0" w:afterAutospacing="0"/>
        <w:jc w:val="both"/>
      </w:pP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Утверждены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методические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рекомендации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по корпоративному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управлению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в банках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Украины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, +2,0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балла</w:t>
      </w:r>
      <w:proofErr w:type="spellEnd"/>
    </w:p>
    <w:p w14:paraId="0D9D884D" w14:textId="77777777" w:rsidR="007F2F46" w:rsidRDefault="007F2F46" w:rsidP="007F2F46">
      <w:pPr>
        <w:pStyle w:val="ae"/>
        <w:spacing w:before="240" w:beforeAutospacing="0" w:after="0" w:afterAutospacing="0"/>
        <w:jc w:val="both"/>
      </w:pPr>
      <w:proofErr w:type="spellStart"/>
      <w:r>
        <w:rPr>
          <w:rFonts w:ascii="Georgia" w:hAnsi="Georgia"/>
          <w:color w:val="000000"/>
          <w:sz w:val="22"/>
          <w:szCs w:val="22"/>
        </w:rPr>
        <w:t>Ранее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принципы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организации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банках </w:t>
      </w:r>
      <w:proofErr w:type="spellStart"/>
      <w:r>
        <w:rPr>
          <w:rFonts w:ascii="Georgia" w:hAnsi="Georgia"/>
          <w:color w:val="000000"/>
          <w:sz w:val="22"/>
          <w:szCs w:val="22"/>
        </w:rPr>
        <w:t>были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определены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методических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hyperlink r:id="rId10" w:history="1">
        <w:proofErr w:type="spellStart"/>
        <w:r>
          <w:rPr>
            <w:rStyle w:val="aa"/>
            <w:rFonts w:ascii="Georgia" w:hAnsi="Georgia"/>
            <w:color w:val="1155CC"/>
            <w:sz w:val="22"/>
            <w:szCs w:val="22"/>
          </w:rPr>
          <w:t>рекомендациях</w:t>
        </w:r>
        <w:proofErr w:type="spellEnd"/>
        <w:r>
          <w:rPr>
            <w:rStyle w:val="aa"/>
            <w:rFonts w:ascii="Georgia" w:hAnsi="Georgia"/>
            <w:color w:val="1155CC"/>
            <w:sz w:val="22"/>
            <w:szCs w:val="22"/>
          </w:rPr>
          <w:t xml:space="preserve"> 2007 </w:t>
        </w:r>
        <w:proofErr w:type="spellStart"/>
        <w:r>
          <w:rPr>
            <w:rStyle w:val="aa"/>
            <w:rFonts w:ascii="Georgia" w:hAnsi="Georgia"/>
            <w:color w:val="1155CC"/>
            <w:sz w:val="22"/>
            <w:szCs w:val="22"/>
          </w:rPr>
          <w:t>года</w:t>
        </w:r>
        <w:proofErr w:type="spellEnd"/>
      </w:hyperlink>
      <w:r>
        <w:rPr>
          <w:rFonts w:ascii="Georgia" w:hAnsi="Georgia"/>
          <w:color w:val="000000"/>
          <w:sz w:val="22"/>
          <w:szCs w:val="22"/>
        </w:rPr>
        <w:t xml:space="preserve">. В них </w:t>
      </w:r>
      <w:proofErr w:type="spellStart"/>
      <w:r>
        <w:rPr>
          <w:rFonts w:ascii="Georgia" w:hAnsi="Georgia"/>
          <w:color w:val="000000"/>
          <w:sz w:val="22"/>
          <w:szCs w:val="22"/>
        </w:rPr>
        <w:t>были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определены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главные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органы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банка и </w:t>
      </w:r>
      <w:proofErr w:type="spellStart"/>
      <w:r>
        <w:rPr>
          <w:rFonts w:ascii="Georgia" w:hAnsi="Georgia"/>
          <w:color w:val="000000"/>
          <w:sz w:val="22"/>
          <w:szCs w:val="22"/>
        </w:rPr>
        <w:t>их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задачи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Такими органами </w:t>
      </w:r>
      <w:proofErr w:type="spellStart"/>
      <w:r>
        <w:rPr>
          <w:rFonts w:ascii="Georgia" w:hAnsi="Georgia"/>
          <w:color w:val="000000"/>
          <w:sz w:val="22"/>
          <w:szCs w:val="22"/>
        </w:rPr>
        <w:t>являются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общее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собрание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акционеров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банка, </w:t>
      </w:r>
      <w:proofErr w:type="spellStart"/>
      <w:r>
        <w:rPr>
          <w:rFonts w:ascii="Georgia" w:hAnsi="Georgia"/>
          <w:color w:val="000000"/>
          <w:sz w:val="22"/>
          <w:szCs w:val="22"/>
        </w:rPr>
        <w:t>правления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наблюдательный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совет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6F829A48" w14:textId="77777777" w:rsidR="007F2F46" w:rsidRDefault="007F2F46" w:rsidP="007F2F46">
      <w:pPr>
        <w:pStyle w:val="ae"/>
        <w:spacing w:before="240" w:beforeAutospacing="0" w:after="0" w:afterAutospacing="0"/>
        <w:jc w:val="both"/>
      </w:pPr>
      <w:proofErr w:type="spellStart"/>
      <w:r>
        <w:rPr>
          <w:rFonts w:ascii="Georgia" w:hAnsi="Georgia"/>
          <w:color w:val="000000"/>
          <w:sz w:val="22"/>
          <w:szCs w:val="22"/>
        </w:rPr>
        <w:t>Однако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фактически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наблюдательные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советы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часто не </w:t>
      </w:r>
      <w:proofErr w:type="spellStart"/>
      <w:r>
        <w:rPr>
          <w:rFonts w:ascii="Georgia" w:hAnsi="Georgia"/>
          <w:color w:val="000000"/>
          <w:sz w:val="22"/>
          <w:szCs w:val="22"/>
        </w:rPr>
        <w:t>были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действенными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органами и брали </w:t>
      </w:r>
      <w:proofErr w:type="spellStart"/>
      <w:r>
        <w:rPr>
          <w:rFonts w:ascii="Georgia" w:hAnsi="Georgia"/>
          <w:color w:val="000000"/>
          <w:sz w:val="22"/>
          <w:szCs w:val="22"/>
        </w:rPr>
        <w:t>только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формальное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участие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управлении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банком. </w:t>
      </w:r>
      <w:proofErr w:type="spellStart"/>
      <w:r>
        <w:rPr>
          <w:rFonts w:ascii="Georgia" w:hAnsi="Georgia"/>
          <w:color w:val="000000"/>
          <w:sz w:val="22"/>
          <w:szCs w:val="22"/>
        </w:rPr>
        <w:t>Такая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ситуация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привела к тому, </w:t>
      </w:r>
      <w:proofErr w:type="spellStart"/>
      <w:r>
        <w:rPr>
          <w:rFonts w:ascii="Georgia" w:hAnsi="Georgia"/>
          <w:color w:val="000000"/>
          <w:sz w:val="22"/>
          <w:szCs w:val="22"/>
        </w:rPr>
        <w:t>что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более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100 </w:t>
      </w:r>
      <w:proofErr w:type="spellStart"/>
      <w:r>
        <w:rPr>
          <w:rFonts w:ascii="Georgia" w:hAnsi="Georgia"/>
          <w:color w:val="000000"/>
          <w:sz w:val="22"/>
          <w:szCs w:val="22"/>
        </w:rPr>
        <w:t>банков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было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признано </w:t>
      </w:r>
      <w:proofErr w:type="spellStart"/>
      <w:r>
        <w:rPr>
          <w:rFonts w:ascii="Georgia" w:hAnsi="Georgia"/>
          <w:color w:val="000000"/>
          <w:sz w:val="22"/>
          <w:szCs w:val="22"/>
        </w:rPr>
        <w:t>неплатежеспособными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выведено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 </w:t>
      </w:r>
      <w:proofErr w:type="spellStart"/>
      <w:r>
        <w:rPr>
          <w:rFonts w:ascii="Georgia" w:hAnsi="Georgia"/>
          <w:color w:val="000000"/>
          <w:sz w:val="22"/>
          <w:szCs w:val="22"/>
        </w:rPr>
        <w:t>рынка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2014-2018 годах.</w:t>
      </w:r>
    </w:p>
    <w:p w14:paraId="0065B1B9" w14:textId="77777777" w:rsidR="007F2F46" w:rsidRDefault="007F2F46" w:rsidP="007F2F46">
      <w:pPr>
        <w:pStyle w:val="ae"/>
        <w:spacing w:before="240" w:beforeAutospacing="0" w:after="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Для </w:t>
      </w:r>
      <w:proofErr w:type="spellStart"/>
      <w:r>
        <w:rPr>
          <w:rFonts w:ascii="Georgia" w:hAnsi="Georgia"/>
          <w:color w:val="000000"/>
          <w:sz w:val="22"/>
          <w:szCs w:val="22"/>
        </w:rPr>
        <w:t>минимизации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таких </w:t>
      </w:r>
      <w:proofErr w:type="spellStart"/>
      <w:r>
        <w:rPr>
          <w:rFonts w:ascii="Georgia" w:hAnsi="Georgia"/>
          <w:color w:val="000000"/>
          <w:sz w:val="22"/>
          <w:szCs w:val="22"/>
        </w:rPr>
        <w:t>рисков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будущем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НБУ начал </w:t>
      </w:r>
      <w:proofErr w:type="spellStart"/>
      <w:r>
        <w:rPr>
          <w:rFonts w:ascii="Georgia" w:hAnsi="Georgia"/>
          <w:color w:val="000000"/>
          <w:sz w:val="22"/>
          <w:szCs w:val="22"/>
        </w:rPr>
        <w:t>внедрять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Украине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proofErr w:type="spellStart"/>
        <w:r>
          <w:rPr>
            <w:rStyle w:val="aa"/>
            <w:rFonts w:ascii="Georgia" w:hAnsi="Georgia"/>
            <w:color w:val="1155CC"/>
            <w:sz w:val="22"/>
            <w:szCs w:val="22"/>
          </w:rPr>
          <w:t>принципы</w:t>
        </w:r>
        <w:proofErr w:type="spellEnd"/>
        <w:r>
          <w:rPr>
            <w:rStyle w:val="aa"/>
            <w:rFonts w:ascii="Georgia" w:hAnsi="Georgia"/>
            <w:color w:val="1155CC"/>
            <w:sz w:val="22"/>
            <w:szCs w:val="22"/>
          </w:rPr>
          <w:t xml:space="preserve"> корпоративного </w:t>
        </w:r>
        <w:proofErr w:type="spellStart"/>
        <w:r>
          <w:rPr>
            <w:rStyle w:val="aa"/>
            <w:rFonts w:ascii="Georgia" w:hAnsi="Georgia"/>
            <w:color w:val="1155CC"/>
            <w:sz w:val="22"/>
            <w:szCs w:val="22"/>
          </w:rPr>
          <w:t>управления</w:t>
        </w:r>
        <w:proofErr w:type="spellEnd"/>
      </w:hyperlink>
      <w:r>
        <w:rPr>
          <w:rFonts w:ascii="Georgia" w:hAnsi="Georgia"/>
          <w:color w:val="000000"/>
          <w:sz w:val="22"/>
          <w:szCs w:val="22"/>
        </w:rPr>
        <w:t xml:space="preserve"> в банках,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разработал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Базельский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комитет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color w:val="000000"/>
          <w:sz w:val="22"/>
          <w:szCs w:val="22"/>
        </w:rPr>
        <w:t>банковскому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надзору.</w:t>
      </w:r>
    </w:p>
    <w:p w14:paraId="6B5D8081" w14:textId="29DFA21F" w:rsidR="007F2F46" w:rsidRDefault="007F2F46" w:rsidP="007F2F46">
      <w:pPr>
        <w:pStyle w:val="ae"/>
        <w:spacing w:before="240" w:beforeAutospacing="0" w:after="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На </w:t>
      </w:r>
      <w:proofErr w:type="spellStart"/>
      <w:r>
        <w:rPr>
          <w:rFonts w:ascii="Georgia" w:hAnsi="Georgia"/>
          <w:color w:val="000000"/>
          <w:sz w:val="22"/>
          <w:szCs w:val="22"/>
        </w:rPr>
        <w:t>базе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этих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принципов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НБУ </w:t>
      </w:r>
      <w:proofErr w:type="spellStart"/>
      <w:r>
        <w:rPr>
          <w:rFonts w:ascii="Georgia" w:hAnsi="Georgia"/>
          <w:color w:val="000000"/>
          <w:sz w:val="22"/>
          <w:szCs w:val="22"/>
        </w:rPr>
        <w:t>разработал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hyperlink r:id="rId12" w:history="1">
        <w:proofErr w:type="spellStart"/>
        <w:r>
          <w:rPr>
            <w:rStyle w:val="aa"/>
            <w:rFonts w:ascii="Georgia" w:hAnsi="Georgia"/>
            <w:color w:val="1155CC"/>
            <w:sz w:val="22"/>
            <w:szCs w:val="22"/>
          </w:rPr>
          <w:t>новые</w:t>
        </w:r>
        <w:proofErr w:type="spellEnd"/>
        <w:r>
          <w:rPr>
            <w:rStyle w:val="aa"/>
            <w:rFonts w:ascii="Georgia" w:hAnsi="Georgia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aa"/>
            <w:rFonts w:ascii="Georgia" w:hAnsi="Georgia"/>
            <w:color w:val="1155CC"/>
            <w:sz w:val="22"/>
            <w:szCs w:val="22"/>
          </w:rPr>
          <w:t>методические</w:t>
        </w:r>
        <w:proofErr w:type="spellEnd"/>
        <w:r>
          <w:rPr>
            <w:rStyle w:val="aa"/>
            <w:rFonts w:ascii="Georgia" w:hAnsi="Georgia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aa"/>
            <w:rFonts w:ascii="Georgia" w:hAnsi="Georgia"/>
            <w:color w:val="1155CC"/>
            <w:sz w:val="22"/>
            <w:szCs w:val="22"/>
          </w:rPr>
          <w:t>рекомендации</w:t>
        </w:r>
        <w:proofErr w:type="spellEnd"/>
      </w:hyperlink>
      <w:r>
        <w:rPr>
          <w:rFonts w:ascii="Georgia" w:hAnsi="Georgia"/>
          <w:color w:val="000000"/>
          <w:sz w:val="22"/>
          <w:szCs w:val="22"/>
        </w:rPr>
        <w:t xml:space="preserve">, в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в </w:t>
      </w:r>
      <w:proofErr w:type="spellStart"/>
      <w:r>
        <w:rPr>
          <w:rFonts w:ascii="Georgia" w:hAnsi="Georgia"/>
          <w:color w:val="000000"/>
          <w:sz w:val="22"/>
          <w:szCs w:val="22"/>
        </w:rPr>
        <w:t>частности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изменил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роль </w:t>
      </w:r>
      <w:proofErr w:type="spellStart"/>
      <w:r>
        <w:rPr>
          <w:rFonts w:ascii="Georgia" w:hAnsi="Georgia"/>
          <w:color w:val="000000"/>
          <w:sz w:val="22"/>
          <w:szCs w:val="22"/>
        </w:rPr>
        <w:t>наблюдательных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советов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процессе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банками. В </w:t>
      </w:r>
      <w:proofErr w:type="spellStart"/>
      <w:r>
        <w:rPr>
          <w:rFonts w:ascii="Georgia" w:hAnsi="Georgia"/>
          <w:color w:val="000000"/>
          <w:sz w:val="22"/>
          <w:szCs w:val="22"/>
        </w:rPr>
        <w:t>новых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рекомендациях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НБУ </w:t>
      </w:r>
      <w:proofErr w:type="spellStart"/>
      <w:r>
        <w:rPr>
          <w:rFonts w:ascii="Georgia" w:hAnsi="Georgia"/>
          <w:color w:val="000000"/>
          <w:sz w:val="22"/>
          <w:szCs w:val="22"/>
        </w:rPr>
        <w:t>определил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новое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понятие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"</w:t>
      </w:r>
      <w:proofErr w:type="spellStart"/>
      <w:r>
        <w:rPr>
          <w:rFonts w:ascii="Georgia" w:hAnsi="Georgia"/>
          <w:color w:val="000000"/>
          <w:sz w:val="22"/>
          <w:szCs w:val="22"/>
        </w:rPr>
        <w:t>коллективной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годности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" </w:t>
      </w:r>
      <w:proofErr w:type="spellStart"/>
      <w:r>
        <w:rPr>
          <w:rFonts w:ascii="Georgia" w:hAnsi="Georgia"/>
          <w:color w:val="000000"/>
          <w:sz w:val="22"/>
          <w:szCs w:val="22"/>
        </w:rPr>
        <w:t>органов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банком. </w:t>
      </w:r>
      <w:proofErr w:type="spellStart"/>
      <w:r>
        <w:rPr>
          <w:rFonts w:ascii="Georgia" w:hAnsi="Georgia"/>
          <w:color w:val="000000"/>
          <w:sz w:val="22"/>
          <w:szCs w:val="22"/>
        </w:rPr>
        <w:t>Это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означает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что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состав </w:t>
      </w:r>
      <w:proofErr w:type="spellStart"/>
      <w:r>
        <w:rPr>
          <w:rFonts w:ascii="Georgia" w:hAnsi="Georgia"/>
          <w:color w:val="000000"/>
          <w:sz w:val="22"/>
          <w:szCs w:val="22"/>
        </w:rPr>
        <w:t>наблюдательного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совета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правления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должен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иметь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компетенции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color w:val="000000"/>
          <w:sz w:val="22"/>
          <w:szCs w:val="22"/>
        </w:rPr>
        <w:t>всем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основным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направлениям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деятельности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осуществляет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банк.</w:t>
      </w:r>
    </w:p>
    <w:p w14:paraId="7D17C4E1" w14:textId="77777777" w:rsidR="007F2F46" w:rsidRDefault="007F2F46" w:rsidP="007F2F46">
      <w:pPr>
        <w:pStyle w:val="ae"/>
        <w:spacing w:before="240" w:beforeAutospacing="0" w:after="0" w:afterAutospacing="0"/>
        <w:jc w:val="both"/>
      </w:pP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Комментарий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эксперта</w:t>
      </w:r>
      <w:proofErr w:type="spellEnd"/>
    </w:p>
    <w:p w14:paraId="6720EBC8" w14:textId="17155EB9" w:rsidR="007F2F46" w:rsidRDefault="007F2F46" w:rsidP="007F2F46">
      <w:pPr>
        <w:pStyle w:val="ae"/>
        <w:spacing w:before="24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“Банки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осуществляют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особое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влияние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экономику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Целью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больше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соблюдение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интересов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акционеров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именно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соблюдение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интересов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общества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стабильности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банковской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системы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стимулировании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экономического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роста.</w:t>
      </w:r>
    </w:p>
    <w:p w14:paraId="75024AE5" w14:textId="77777777" w:rsidR="007F2F46" w:rsidRDefault="007F2F46" w:rsidP="007F2F46">
      <w:pPr>
        <w:pStyle w:val="ae"/>
        <w:spacing w:before="24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НБУ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регулятор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имеет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особое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влияние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заинтересованность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качественном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корпоративном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банках.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регулятор НБУ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хочет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быть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уверенным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жизнеспособности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стратегий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компетентности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членов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наблюдательных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советов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Утвержденные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методические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рекомендации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переход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от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более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формального контроля за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соблюдением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финансовых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показателей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содержательному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регулированию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того,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работают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принимаются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управленческие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решения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ответственности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за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такие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решения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Внедрение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рекомендаций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позволит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банкам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улучшить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качество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сделает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более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надежными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устойчивыми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..”</w:t>
      </w:r>
    </w:p>
    <w:p w14:paraId="74001AF7" w14:textId="77777777" w:rsidR="007F2F46" w:rsidRDefault="007F2F46" w:rsidP="007F2F46">
      <w:pPr>
        <w:pStyle w:val="ae"/>
        <w:spacing w:before="240" w:beforeAutospacing="0" w:after="0" w:afterAutospacing="0"/>
        <w:jc w:val="right"/>
      </w:pP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Дмитрий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Яблоновский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, Центр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экономической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стратегии</w:t>
      </w:r>
      <w:proofErr w:type="spellEnd"/>
    </w:p>
    <w:p w14:paraId="73A17FC3" w14:textId="79DB4C6D" w:rsidR="007F2F46" w:rsidRDefault="007F2F46" w:rsidP="007F2F46">
      <w:pPr>
        <w:pStyle w:val="ae"/>
        <w:spacing w:before="240" w:beforeAutospacing="0" w:after="0" w:afterAutospacing="0"/>
        <w:jc w:val="both"/>
        <w:rPr>
          <w:rFonts w:ascii="Georgia" w:hAnsi="Georgia"/>
          <w:i/>
          <w:iCs/>
          <w:color w:val="000000"/>
          <w:sz w:val="22"/>
          <w:szCs w:val="22"/>
        </w:rPr>
      </w:pPr>
      <w:r>
        <w:rPr>
          <w:rFonts w:ascii="Georgia" w:hAnsi="Georgia"/>
          <w:i/>
          <w:iCs/>
          <w:color w:val="000000"/>
          <w:sz w:val="22"/>
          <w:szCs w:val="22"/>
        </w:rPr>
        <w:t>“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Указанные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рекомендации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являются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императивным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обязательным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исполнению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) документом,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например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Закон об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акционерных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обществах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Постановление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НБУ №64.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Они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детализируют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видение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регулятора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относительно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того,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банкам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следует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реализовать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требования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постановлений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части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построения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Вместе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 тем,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можно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сомневаться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что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рекомендации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будут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использоваться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Нацбанком при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оценке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банках (в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ходе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проверок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)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определении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степени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рискованности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15AF4C3C" w14:textId="77777777" w:rsidR="007F2F46" w:rsidRDefault="007F2F46" w:rsidP="007F2F46">
      <w:pPr>
        <w:pStyle w:val="ae"/>
        <w:spacing w:before="24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одной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стороны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этот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документ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призван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помочь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банкам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построении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качественного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корпуправления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другой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отступление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банком от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буквы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рекомендаций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потребует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lastRenderedPageBreak/>
        <w:t>основательного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объяснения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причин.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любые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несогласованности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между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рекомендациями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нормативными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правовыми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актами (ЗУ об АО, ЗУ о банках, ППНБУ 64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другие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)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могут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стать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источником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недоразумений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ошибок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нарушений.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Сейчас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планируем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провести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соответствующий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анализ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течение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следующего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года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работать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направлениях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усовершенствования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нормативной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базы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рекомендаций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также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регулярно проводить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дискуссионно-разъяснительные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мероприятия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вопросам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его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элементов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.”</w:t>
      </w:r>
    </w:p>
    <w:p w14:paraId="010C5EF6" w14:textId="77777777" w:rsidR="007F2F46" w:rsidRDefault="007F2F46" w:rsidP="007F2F46">
      <w:pPr>
        <w:pStyle w:val="ae"/>
        <w:spacing w:before="240" w:beforeAutospacing="0" w:after="0" w:afterAutospacing="0"/>
        <w:jc w:val="right"/>
      </w:pP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Елена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Коробкова,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Независимая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ассоциация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банков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Украины</w:t>
      </w:r>
      <w:proofErr w:type="spellEnd"/>
    </w:p>
    <w:p w14:paraId="6BAD8508" w14:textId="77777777" w:rsidR="007F2F46" w:rsidRDefault="007F2F46" w:rsidP="007F2F46">
      <w:pPr>
        <w:pStyle w:val="ae"/>
        <w:spacing w:before="240" w:beforeAutospacing="0" w:after="0" w:afterAutospacing="0"/>
        <w:jc w:val="both"/>
      </w:pP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Комментарий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НБУ</w:t>
      </w:r>
    </w:p>
    <w:p w14:paraId="7AD56948" w14:textId="77777777" w:rsidR="007F2F46" w:rsidRDefault="007F2F46" w:rsidP="007F2F46">
      <w:pPr>
        <w:pStyle w:val="ae"/>
        <w:spacing w:before="24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>“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Эффективное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корпоративное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критически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важно для нормального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функционирования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банковского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сектора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экономики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целом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Надежность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устойчивость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ключевые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факторы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финансовой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стабильности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государства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6834E637" w14:textId="77777777" w:rsidR="007F2F46" w:rsidRDefault="007F2F46" w:rsidP="007F2F46">
      <w:pPr>
        <w:pStyle w:val="ae"/>
        <w:spacing w:before="240" w:beforeAutospacing="0" w:after="0" w:afterAutospacing="0"/>
        <w:jc w:val="both"/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Поскольку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недостатки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одного банка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могут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привести 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распространению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проблем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банковской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системе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экономике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целом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важно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поддерживать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надежный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уровень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каждом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Такой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уровень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обеспечивается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частности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:</w:t>
      </w:r>
    </w:p>
    <w:p w14:paraId="5070BDF2" w14:textId="77777777" w:rsidR="007F2F46" w:rsidRDefault="007F2F46" w:rsidP="007F2F46">
      <w:pPr>
        <w:pStyle w:val="ae"/>
        <w:shd w:val="clear" w:color="auto" w:fill="FFFFFF"/>
        <w:spacing w:before="24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четким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распределением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полномочий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избежание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дублирования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функций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четкого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понимания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сферы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ответственности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каждого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работника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; </w:t>
      </w:r>
    </w:p>
    <w:p w14:paraId="1033D152" w14:textId="77777777" w:rsidR="007F2F46" w:rsidRDefault="007F2F46" w:rsidP="007F2F46">
      <w:pPr>
        <w:pStyle w:val="ae"/>
        <w:shd w:val="clear" w:color="auto" w:fill="FFFFFF"/>
        <w:spacing w:before="24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надлежащим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уровнем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подотчетности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целью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своевременного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предоставления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органам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информации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для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реагирования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принятия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необходимых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мер;</w:t>
      </w:r>
    </w:p>
    <w:p w14:paraId="2EF1F98D" w14:textId="77777777" w:rsidR="007F2F46" w:rsidRDefault="007F2F46" w:rsidP="007F2F46">
      <w:pPr>
        <w:pStyle w:val="ae"/>
        <w:shd w:val="clear" w:color="auto" w:fill="FFFFFF"/>
        <w:spacing w:before="24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надлежащим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уровнем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системы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сдержек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противовесов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предполагает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такое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распределение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полномочий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между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органами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/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подразделениями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который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обеспечит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взаимную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подконтрольность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предотвратит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возможность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принятия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органами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непродуманных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решений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;</w:t>
      </w:r>
    </w:p>
    <w:p w14:paraId="13FF69FF" w14:textId="77777777" w:rsidR="007F2F46" w:rsidRDefault="007F2F46" w:rsidP="007F2F46">
      <w:pPr>
        <w:pStyle w:val="ae"/>
        <w:shd w:val="clear" w:color="auto" w:fill="FFFFFF"/>
        <w:spacing w:before="24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квалифицированными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членами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совета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слаженно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обеспечивающих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достижение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стратегических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целей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понимают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имеют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опыт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присущими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банковской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деятельности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рисками,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принимают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основании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всестороннего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анализа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информации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взвешенные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решения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;</w:t>
      </w:r>
    </w:p>
    <w:p w14:paraId="489211F6" w14:textId="77777777" w:rsidR="007F2F46" w:rsidRDefault="007F2F46" w:rsidP="007F2F46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действенной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системой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предотвращения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конфликтов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интересов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26C7D84B" w14:textId="77777777" w:rsidR="007F2F46" w:rsidRDefault="007F2F46" w:rsidP="007F2F46">
      <w:pPr>
        <w:pStyle w:val="ae"/>
        <w:shd w:val="clear" w:color="auto" w:fill="FFFFFF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Первым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шагом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совершенствования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банках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стало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принятие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«О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внесении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изменений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некоторые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законодательные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акты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относительно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упрощения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ведения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бизнеса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привлечения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инвестиций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эмитентами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ценных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бумаг» 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регистр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№2210 (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далее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- Закон № 2210).</w:t>
      </w:r>
    </w:p>
    <w:p w14:paraId="5BC18B7D" w14:textId="77777777" w:rsidR="007F2F46" w:rsidRDefault="007F2F46" w:rsidP="007F2F46">
      <w:pPr>
        <w:pStyle w:val="ae"/>
        <w:shd w:val="clear" w:color="auto" w:fill="FFFFFF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Принятие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3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декабря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2018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Правлением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Национального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решения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№ 814-р «Об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одобрении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Методических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рекомендаций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организации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банках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»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обусловлено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необходимостью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повышения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уровня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банковском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секторе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учетом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предлагаемых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(законопроект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Национального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работе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) и уже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принятых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законодательных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изменений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№ 2210), 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также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лучшей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международной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практики (в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частности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рекомендаций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Базельского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комитета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банковскому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надзору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относительно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).</w:t>
      </w:r>
    </w:p>
    <w:p w14:paraId="2B1116E0" w14:textId="77777777" w:rsidR="007F2F46" w:rsidRDefault="007F2F46" w:rsidP="007F2F46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lastRenderedPageBreak/>
        <w:t xml:space="preserve">Документ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содержит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рекомендации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банкам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вопросам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организации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корпоративного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именно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:</w:t>
      </w:r>
    </w:p>
    <w:p w14:paraId="49A74865" w14:textId="77777777" w:rsidR="007F2F46" w:rsidRDefault="007F2F46" w:rsidP="007F2F46">
      <w:pPr>
        <w:pStyle w:val="ae"/>
        <w:shd w:val="clear" w:color="auto" w:fill="FFFFFF"/>
        <w:spacing w:before="0" w:beforeAutospacing="0" w:after="0" w:afterAutospacing="0"/>
        <w:ind w:left="992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ответственности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функций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состава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порядка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работы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совета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коллективной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годности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;</w:t>
      </w:r>
    </w:p>
    <w:p w14:paraId="31912D4C" w14:textId="77777777" w:rsidR="007F2F46" w:rsidRDefault="007F2F46" w:rsidP="007F2F46">
      <w:pPr>
        <w:pStyle w:val="ae"/>
        <w:shd w:val="clear" w:color="auto" w:fill="FFFFFF"/>
        <w:spacing w:before="0" w:beforeAutospacing="0" w:after="0" w:afterAutospacing="0"/>
        <w:ind w:left="992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формирование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состав,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полномочия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порядок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работы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комитетов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совета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банка;</w:t>
      </w:r>
    </w:p>
    <w:p w14:paraId="298397F3" w14:textId="77777777" w:rsidR="007F2F46" w:rsidRDefault="007F2F46" w:rsidP="007F2F46">
      <w:pPr>
        <w:pStyle w:val="ae"/>
        <w:shd w:val="clear" w:color="auto" w:fill="FFFFFF"/>
        <w:spacing w:before="0" w:beforeAutospacing="0" w:after="0" w:afterAutospacing="0"/>
        <w:ind w:left="992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- роли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совета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обеспечении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эффективного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функционирования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системы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внутреннего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контроля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банке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;</w:t>
      </w:r>
    </w:p>
    <w:p w14:paraId="386908DD" w14:textId="77777777" w:rsidR="007F2F46" w:rsidRDefault="007F2F46" w:rsidP="007F2F46">
      <w:pPr>
        <w:pStyle w:val="ae"/>
        <w:shd w:val="clear" w:color="auto" w:fill="FFFFFF"/>
        <w:spacing w:before="0" w:beforeAutospacing="0" w:after="0" w:afterAutospacing="0"/>
        <w:ind w:left="992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внедрение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эффективной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политики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вознаграждения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которая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будет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стимулировать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работников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действовать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интересах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банка и не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прибегать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чрезмерным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рискам;</w:t>
      </w:r>
    </w:p>
    <w:p w14:paraId="3085D9FB" w14:textId="77777777" w:rsidR="007F2F46" w:rsidRDefault="007F2F46" w:rsidP="007F2F46">
      <w:pPr>
        <w:pStyle w:val="ae"/>
        <w:shd w:val="clear" w:color="auto" w:fill="FFFFFF"/>
        <w:spacing w:before="0" w:beforeAutospacing="0" w:after="0" w:afterAutospacing="0"/>
        <w:ind w:left="992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раскрытие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банком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информации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корпоративном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".</w:t>
      </w:r>
    </w:p>
    <w:p w14:paraId="19F3A8E0" w14:textId="05762EBB" w:rsidR="007F2F46" w:rsidRPr="007F2F46" w:rsidRDefault="007F2F46" w:rsidP="007F2F46">
      <w:pPr>
        <w:pStyle w:val="ae"/>
        <w:shd w:val="clear" w:color="auto" w:fill="FFFFFF"/>
        <w:spacing w:before="0" w:beforeAutospacing="0" w:after="0" w:afterAutospacing="0"/>
        <w:jc w:val="both"/>
      </w:pPr>
    </w:p>
    <w:p w14:paraId="1FAB5F92" w14:textId="079C8053" w:rsidR="00CA7A66" w:rsidRDefault="0054302A" w:rsidP="0054302A">
      <w:pPr>
        <w:pStyle w:val="ae"/>
        <w:spacing w:before="120" w:beforeAutospacing="0" w:after="0" w:afterAutospacing="0"/>
        <w:jc w:val="both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  <w:r w:rsidRPr="0054302A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>График 3. События, которые определяли значение индекса, оценка события является суммой ее оценок по разным направлениям, поэтому она может превышать +5, или быть меньше -5</w:t>
      </w:r>
    </w:p>
    <w:p w14:paraId="0668DCEC" w14:textId="7FF00CF1" w:rsidR="000104B9" w:rsidRPr="000104B9" w:rsidRDefault="0054302A" w:rsidP="000104B9">
      <w:pPr>
        <w:pStyle w:val="ae"/>
        <w:spacing w:before="240" w:beforeAutospacing="0" w:after="0" w:afterAutospacing="0"/>
        <w:jc w:val="both"/>
        <w:rPr>
          <w:rFonts w:ascii="Georgia" w:hAnsi="Georgia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5670CB">
        <w:rPr>
          <w:rFonts w:ascii="Georgia" w:hAnsi="Georgia" w:cstheme="minorHAnsi"/>
          <w:noProof/>
          <w:color w:val="000000" w:themeColor="text1"/>
          <w:lang w:val="ru-RU"/>
        </w:rPr>
        <w:drawing>
          <wp:inline distT="0" distB="0" distL="0" distR="0" wp14:anchorId="760CF6E2" wp14:editId="307CE134">
            <wp:extent cx="6230620" cy="1836420"/>
            <wp:effectExtent l="0" t="0" r="17780" b="1143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FC4AD1" w14:textId="78B25926" w:rsidR="00EB29AA" w:rsidRPr="00EB29AA" w:rsidRDefault="00EB29AA" w:rsidP="002F2344">
      <w:pPr>
        <w:pStyle w:val="ae"/>
        <w:spacing w:before="120" w:beforeAutospacing="0" w:after="0" w:afterAutospacing="0"/>
        <w:jc w:val="right"/>
        <w:rPr>
          <w:sz w:val="22"/>
          <w:szCs w:val="22"/>
        </w:rPr>
      </w:pPr>
    </w:p>
    <w:p w14:paraId="412A9506" w14:textId="478A1BB4" w:rsidR="0054302A" w:rsidRPr="005670CB" w:rsidRDefault="0054302A" w:rsidP="0054302A">
      <w:pPr>
        <w:spacing w:before="240" w:after="0" w:line="240" w:lineRule="auto"/>
        <w:jc w:val="both"/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</w:pPr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  <w:t xml:space="preserve">График 4. Значение отдельных компонентов </w:t>
      </w:r>
      <w:proofErr w:type="spellStart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  <w:t>іМоРе</w:t>
      </w:r>
      <w:proofErr w:type="spellEnd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  <w:t xml:space="preserve"> и количество событий</w:t>
      </w:r>
    </w:p>
    <w:p w14:paraId="1571D4E4" w14:textId="12EABA15" w:rsidR="00807769" w:rsidRDefault="007F2F46" w:rsidP="009903D8">
      <w:pPr>
        <w:spacing w:before="240" w:line="240" w:lineRule="auto"/>
        <w:jc w:val="both"/>
        <w:rPr>
          <w:rFonts w:ascii="Georgia" w:hAnsi="Georgia" w:cs="Arial"/>
          <w:b/>
          <w:color w:val="244061" w:themeColor="accent1" w:themeShade="80"/>
          <w:lang w:val="ru-RU"/>
        </w:rPr>
      </w:pPr>
      <w:r>
        <w:rPr>
          <w:noProof/>
        </w:rPr>
        <w:drawing>
          <wp:inline distT="0" distB="0" distL="0" distR="0" wp14:anchorId="51F17EBC" wp14:editId="3897DA99">
            <wp:extent cx="6075045" cy="2636520"/>
            <wp:effectExtent l="0" t="0" r="1905" b="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85E32E" w14:textId="77777777" w:rsidR="000104B9" w:rsidRDefault="000104B9" w:rsidP="00EB29AA">
      <w:pPr>
        <w:spacing w:before="240" w:line="240" w:lineRule="auto"/>
        <w:jc w:val="both"/>
        <w:rPr>
          <w:rFonts w:ascii="Georgia" w:hAnsi="Georgia" w:cs="Arial"/>
          <w:b/>
          <w:color w:val="244061" w:themeColor="accent1" w:themeShade="80"/>
          <w:lang w:val="ru-RU"/>
        </w:rPr>
      </w:pPr>
    </w:p>
    <w:p w14:paraId="3C21236D" w14:textId="41D8609B" w:rsidR="00807769" w:rsidRDefault="009903D8" w:rsidP="00EB29AA">
      <w:pPr>
        <w:spacing w:before="240" w:line="240" w:lineRule="auto"/>
        <w:jc w:val="both"/>
        <w:rPr>
          <w:rFonts w:ascii="Georgia" w:hAnsi="Georgia" w:cs="Arial"/>
          <w:b/>
          <w:color w:val="244061" w:themeColor="accent1" w:themeShade="80"/>
          <w:lang w:val="ru-RU"/>
        </w:rPr>
      </w:pPr>
      <w:bookmarkStart w:id="0" w:name="_GoBack"/>
      <w:bookmarkEnd w:id="0"/>
      <w:r w:rsidRPr="005670CB">
        <w:rPr>
          <w:rFonts w:ascii="Georgia" w:hAnsi="Georgia" w:cs="Arial"/>
          <w:b/>
          <w:color w:val="244061" w:themeColor="accent1" w:themeShade="80"/>
          <w:lang w:val="ru-RU"/>
        </w:rPr>
        <w:lastRenderedPageBreak/>
        <w:t>Таблица 1. Оценки событий и прогресса реформ по направлениям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380"/>
        <w:gridCol w:w="980"/>
      </w:tblGrid>
      <w:tr w:rsidR="007F2F46" w:rsidRPr="007F2F46" w14:paraId="34D7935E" w14:textId="77777777" w:rsidTr="007F2F46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27AABF" w14:textId="77777777" w:rsidR="007F2F46" w:rsidRPr="007F2F46" w:rsidRDefault="007F2F46" w:rsidP="007F2F4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Государственное</w:t>
            </w:r>
            <w:proofErr w:type="spellEnd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управление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CE27BF" w14:textId="77777777" w:rsidR="007F2F46" w:rsidRPr="007F2F46" w:rsidRDefault="007F2F46" w:rsidP="007F2F4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0.0</w:t>
            </w:r>
          </w:p>
        </w:tc>
      </w:tr>
      <w:tr w:rsidR="007F2F46" w:rsidRPr="007F2F46" w14:paraId="046C431D" w14:textId="77777777" w:rsidTr="007F2F46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3D53D7" w14:textId="77777777" w:rsidR="007F2F46" w:rsidRPr="007F2F46" w:rsidRDefault="007F2F46" w:rsidP="007F2F4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Государственные</w:t>
            </w:r>
            <w:proofErr w:type="spellEnd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финансы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C63F04" w14:textId="77777777" w:rsidR="007F2F46" w:rsidRPr="007F2F46" w:rsidRDefault="007F2F46" w:rsidP="007F2F4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+1.0</w:t>
            </w:r>
          </w:p>
        </w:tc>
      </w:tr>
      <w:tr w:rsidR="007F2F46" w:rsidRPr="007F2F46" w14:paraId="67364F28" w14:textId="77777777" w:rsidTr="007F2F46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76E06" w14:textId="77777777" w:rsidR="007F2F46" w:rsidRPr="007F2F46" w:rsidRDefault="007F2F46" w:rsidP="007F2F4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Закон о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Государственном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бюджете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Украины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на 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24C8C0" w14:textId="77777777" w:rsidR="007F2F46" w:rsidRPr="007F2F46" w:rsidRDefault="007F2F46" w:rsidP="007F2F4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+0.8</w:t>
            </w:r>
          </w:p>
        </w:tc>
      </w:tr>
      <w:tr w:rsidR="007F2F46" w:rsidRPr="007F2F46" w14:paraId="24BB3E08" w14:textId="77777777" w:rsidTr="007F2F46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879078" w14:textId="77777777" w:rsidR="007F2F46" w:rsidRPr="007F2F46" w:rsidRDefault="007F2F46" w:rsidP="007F2F4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Монетарная</w:t>
            </w:r>
            <w:proofErr w:type="spellEnd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система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BE0464" w14:textId="77777777" w:rsidR="007F2F46" w:rsidRPr="007F2F46" w:rsidRDefault="007F2F46" w:rsidP="007F2F4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+1.0</w:t>
            </w:r>
          </w:p>
        </w:tc>
      </w:tr>
      <w:tr w:rsidR="007F2F46" w:rsidRPr="007F2F46" w14:paraId="6EED8597" w14:textId="77777777" w:rsidTr="007F2F46">
        <w:trPr>
          <w:trHeight w:val="252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477A3F" w14:textId="77777777" w:rsidR="007F2F46" w:rsidRPr="007F2F46" w:rsidRDefault="007F2F46" w:rsidP="007F2F4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Национальный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банк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упростил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условия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экстренной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поддержки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ликвидности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банков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298559" w14:textId="77777777" w:rsidR="007F2F46" w:rsidRPr="007F2F46" w:rsidRDefault="007F2F46" w:rsidP="007F2F4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+1.0</w:t>
            </w:r>
          </w:p>
        </w:tc>
      </w:tr>
      <w:tr w:rsidR="007F2F46" w:rsidRPr="007F2F46" w14:paraId="57987D4B" w14:textId="77777777" w:rsidTr="007F2F46">
        <w:trPr>
          <w:trHeight w:val="25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ADF07" w14:textId="77777777" w:rsidR="007F2F46" w:rsidRPr="007F2F46" w:rsidRDefault="007F2F46" w:rsidP="007F2F4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НБУ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дал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зеленый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свет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" для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электронного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документооборота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банковской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системе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ADC0B" w14:textId="77777777" w:rsidR="007F2F46" w:rsidRPr="007F2F46" w:rsidRDefault="007F2F46" w:rsidP="007F2F4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+1.0</w:t>
            </w:r>
          </w:p>
        </w:tc>
      </w:tr>
      <w:tr w:rsidR="007F2F46" w:rsidRPr="007F2F46" w14:paraId="0A3D8607" w14:textId="77777777" w:rsidTr="007F2F46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0B8449" w14:textId="77777777" w:rsidR="007F2F46" w:rsidRPr="007F2F46" w:rsidRDefault="007F2F46" w:rsidP="007F2F4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Бизнес</w:t>
            </w:r>
            <w:proofErr w:type="spellEnd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среда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DE966C" w14:textId="77777777" w:rsidR="007F2F46" w:rsidRPr="007F2F46" w:rsidRDefault="007F2F46" w:rsidP="007F2F4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+1.0</w:t>
            </w:r>
          </w:p>
        </w:tc>
      </w:tr>
      <w:tr w:rsidR="007F2F46" w:rsidRPr="007F2F46" w14:paraId="25645436" w14:textId="77777777" w:rsidTr="007F2F46">
        <w:trPr>
          <w:trHeight w:val="46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4B7762" w14:textId="77777777" w:rsidR="007F2F46" w:rsidRPr="007F2F46" w:rsidRDefault="007F2F46" w:rsidP="007F2F4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Национальный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банк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разработал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Методические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рекомендации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организации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корпоративного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управления</w:t>
            </w:r>
            <w:proofErr w:type="spellEnd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 xml:space="preserve"> в банках </w:t>
            </w:r>
            <w:proofErr w:type="spellStart"/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Украины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2FD752" w14:textId="77777777" w:rsidR="007F2F46" w:rsidRPr="007F2F46" w:rsidRDefault="007F2F46" w:rsidP="007F2F4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7F2F46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+2.0</w:t>
            </w:r>
          </w:p>
        </w:tc>
      </w:tr>
      <w:tr w:rsidR="007F2F46" w:rsidRPr="007F2F46" w14:paraId="30E3E109" w14:textId="77777777" w:rsidTr="007F2F46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FF52FE" w14:textId="77777777" w:rsidR="007F2F46" w:rsidRPr="007F2F46" w:rsidRDefault="007F2F46" w:rsidP="007F2F4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Энергетика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1F96AB" w14:textId="77777777" w:rsidR="007F2F46" w:rsidRPr="007F2F46" w:rsidRDefault="007F2F46" w:rsidP="007F2F4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7F2F46">
              <w:rPr>
                <w:rFonts w:ascii="Georgia" w:eastAsia="Times New Roman" w:hAnsi="Georgia" w:cs="Calibri"/>
                <w:b/>
                <w:bCs/>
                <w:color w:val="000000"/>
              </w:rPr>
              <w:t>0.0</w:t>
            </w:r>
          </w:p>
        </w:tc>
      </w:tr>
    </w:tbl>
    <w:p w14:paraId="6A7A504A" w14:textId="1B278C24" w:rsidR="00472A05" w:rsidRPr="005670CB" w:rsidRDefault="00472A05" w:rsidP="00F0545E">
      <w:pPr>
        <w:spacing w:before="240" w:after="12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hAnsi="Georgia" w:cs="Arial"/>
          <w:i/>
          <w:iCs/>
          <w:sz w:val="20"/>
          <w:szCs w:val="20"/>
          <w:u w:val="single"/>
          <w:lang w:val="ru-RU"/>
        </w:rPr>
        <w:t>Справочная информация</w:t>
      </w:r>
      <w:r w:rsidR="00093130" w:rsidRPr="005670CB">
        <w:rPr>
          <w:rFonts w:ascii="Georgia" w:hAnsi="Georgia" w:cs="Arial"/>
          <w:sz w:val="20"/>
          <w:szCs w:val="20"/>
          <w:lang w:val="ru-RU"/>
        </w:rPr>
        <w:t>: Индекс мониторинга реформ (</w:t>
      </w:r>
      <w:proofErr w:type="spellStart"/>
      <w:r w:rsidR="00093130" w:rsidRPr="005670CB">
        <w:rPr>
          <w:rFonts w:ascii="Georgia" w:hAnsi="Georgia" w:cs="Arial"/>
          <w:sz w:val="20"/>
          <w:szCs w:val="20"/>
          <w:lang w:val="ru-RU"/>
        </w:rPr>
        <w:t>і</w:t>
      </w:r>
      <w:r w:rsidRPr="005670CB">
        <w:rPr>
          <w:rFonts w:ascii="Georgia" w:hAnsi="Georgia" w:cs="Arial"/>
          <w:sz w:val="20"/>
          <w:szCs w:val="20"/>
          <w:lang w:val="ru-RU"/>
        </w:rPr>
        <w:t>MoРe</w:t>
      </w:r>
      <w:proofErr w:type="spellEnd"/>
      <w:r w:rsidRPr="005670CB">
        <w:rPr>
          <w:rFonts w:ascii="Georgia" w:hAnsi="Georgia" w:cs="Arial"/>
          <w:sz w:val="20"/>
          <w:szCs w:val="20"/>
          <w:lang w:val="ru-RU"/>
        </w:rPr>
        <w:t xml:space="preserve">) </w:t>
      </w:r>
      <w:proofErr w:type="spellStart"/>
      <w:r w:rsidRPr="005670CB">
        <w:rPr>
          <w:rFonts w:ascii="Georgia" w:hAnsi="Georgia" w:cs="Arial"/>
          <w:sz w:val="20"/>
          <w:szCs w:val="20"/>
          <w:lang w:val="ru-RU"/>
        </w:rPr>
        <w:t>VoxUkraine</w:t>
      </w:r>
      <w:proofErr w:type="spellEnd"/>
      <w:r w:rsidRPr="005670CB">
        <w:rPr>
          <w:rFonts w:ascii="Georgia" w:hAnsi="Georgia" w:cs="Arial"/>
          <w:sz w:val="20"/>
          <w:szCs w:val="20"/>
          <w:lang w:val="ru-RU"/>
        </w:rPr>
        <w:t xml:space="preserve"> </w:t>
      </w:r>
      <w:proofErr w:type="gramStart"/>
      <w:r w:rsidRPr="005670CB">
        <w:rPr>
          <w:rFonts w:ascii="Georgia" w:hAnsi="Georgia" w:cs="Arial"/>
          <w:sz w:val="20"/>
          <w:szCs w:val="20"/>
          <w:lang w:val="ru-RU"/>
        </w:rPr>
        <w:t>- это</w:t>
      </w:r>
      <w:proofErr w:type="gramEnd"/>
      <w:r w:rsidRPr="005670CB">
        <w:rPr>
          <w:rFonts w:ascii="Georgia" w:hAnsi="Georgia" w:cs="Arial"/>
          <w:sz w:val="20"/>
          <w:szCs w:val="20"/>
          <w:lang w:val="ru-RU"/>
        </w:rPr>
        <w:t xml:space="preserve"> независимый рейтинг усилий правительства Украины по проведению экономических реформ. Индекс базируется на экспертных оценках изменений в регуляторной среде по пяти направлениям: </w:t>
      </w:r>
    </w:p>
    <w:p w14:paraId="71671C5E" w14:textId="67B502CD" w:rsidR="00472A05" w:rsidRPr="005670CB" w:rsidRDefault="00472A05" w:rsidP="00507D98">
      <w:pPr>
        <w:spacing w:after="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1. Государственное управление </w:t>
      </w:r>
    </w:p>
    <w:p w14:paraId="1BB83B29" w14:textId="26395D19" w:rsidR="00472A05" w:rsidRPr="005670CB" w:rsidRDefault="00472A05" w:rsidP="00507D98">
      <w:pPr>
        <w:spacing w:after="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2. Государственные финансы </w:t>
      </w:r>
    </w:p>
    <w:p w14:paraId="05C254DC" w14:textId="456B9CFE" w:rsidR="00472A05" w:rsidRPr="005670CB" w:rsidRDefault="00472A05" w:rsidP="00507D98">
      <w:pPr>
        <w:spacing w:after="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3. Монетарная </w:t>
      </w:r>
      <w:r w:rsidR="00F554EE"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система</w:t>
      </w:r>
    </w:p>
    <w:p w14:paraId="6459D3D5" w14:textId="77777777" w:rsidR="00F554EE" w:rsidRPr="005670CB" w:rsidRDefault="00472A05" w:rsidP="00507D98">
      <w:pPr>
        <w:spacing w:after="0" w:line="240" w:lineRule="auto"/>
        <w:jc w:val="both"/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4. </w:t>
      </w:r>
      <w:r w:rsidR="00F554EE"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Бизнес-среда </w:t>
      </w:r>
    </w:p>
    <w:p w14:paraId="061F81B2" w14:textId="16358F84" w:rsidR="00F72E15" w:rsidRPr="00F0545E" w:rsidRDefault="00472A05" w:rsidP="00F0545E">
      <w:pPr>
        <w:spacing w:line="240" w:lineRule="auto"/>
        <w:jc w:val="both"/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5. Энергети</w:t>
      </w:r>
      <w:r w:rsidR="00F554EE"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ка</w:t>
      </w: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.</w:t>
      </w:r>
    </w:p>
    <w:p w14:paraId="53B03CF4" w14:textId="01BF3AE5" w:rsidR="00472A05" w:rsidRPr="005670CB" w:rsidRDefault="00472A05" w:rsidP="00507D98">
      <w:pPr>
        <w:spacing w:after="12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hAnsi="Georgia" w:cs="Arial"/>
          <w:sz w:val="20"/>
          <w:szCs w:val="20"/>
          <w:lang w:val="ru-RU"/>
        </w:rPr>
        <w:t xml:space="preserve">Подробнее об Индексе и методологии расчета можно узнать на сайте </w:t>
      </w:r>
      <w:r w:rsidRPr="005670CB">
        <w:rPr>
          <w:rStyle w:val="aa"/>
          <w:rFonts w:ascii="Georgia" w:hAnsi="Georgia" w:cs="Arial"/>
          <w:sz w:val="20"/>
          <w:szCs w:val="20"/>
          <w:lang w:val="ru-RU"/>
        </w:rPr>
        <w:t>imorevox.</w:t>
      </w:r>
      <w:r w:rsidR="006256D0" w:rsidRPr="005670CB">
        <w:rPr>
          <w:rStyle w:val="aa"/>
          <w:rFonts w:ascii="Georgia" w:hAnsi="Georgia" w:cs="Arial"/>
          <w:sz w:val="20"/>
          <w:szCs w:val="20"/>
          <w:lang w:val="ru-RU"/>
        </w:rPr>
        <w:t>org</w:t>
      </w:r>
      <w:r w:rsidRPr="005670CB">
        <w:rPr>
          <w:rStyle w:val="aa"/>
          <w:rFonts w:ascii="Georgia" w:hAnsi="Georgia" w:cs="Arial"/>
          <w:sz w:val="20"/>
          <w:szCs w:val="20"/>
          <w:lang w:val="ru-RU"/>
        </w:rPr>
        <w:t>.</w:t>
      </w:r>
      <w:r w:rsidRPr="005670CB">
        <w:rPr>
          <w:rFonts w:ascii="Georgia" w:hAnsi="Georgia" w:cs="Arial"/>
          <w:sz w:val="20"/>
          <w:szCs w:val="20"/>
          <w:lang w:val="ru-RU"/>
        </w:rPr>
        <w:t xml:space="preserve"> </w:t>
      </w:r>
    </w:p>
    <w:sectPr w:rsidR="00472A05" w:rsidRPr="005670CB" w:rsidSect="00F72B62">
      <w:headerReference w:type="default" r:id="rId15"/>
      <w:footerReference w:type="default" r:id="rId16"/>
      <w:pgSz w:w="12240" w:h="15840"/>
      <w:pgMar w:top="1525" w:right="616" w:bottom="1418" w:left="1701" w:header="360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69F5" w14:textId="77777777" w:rsidR="00EB29AA" w:rsidRDefault="00EB29AA" w:rsidP="00A64489">
      <w:pPr>
        <w:spacing w:after="0" w:line="240" w:lineRule="auto"/>
      </w:pPr>
      <w:r>
        <w:separator/>
      </w:r>
    </w:p>
  </w:endnote>
  <w:endnote w:type="continuationSeparator" w:id="0">
    <w:p w14:paraId="4564FBBE" w14:textId="77777777" w:rsidR="00EB29AA" w:rsidRDefault="00EB29AA" w:rsidP="00A6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59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4"/>
      <w:gridCol w:w="7654"/>
    </w:tblGrid>
    <w:tr w:rsidR="00EB29AA" w:rsidRPr="00A97525" w14:paraId="23ED5047" w14:textId="77777777" w:rsidTr="00785F14">
      <w:trPr>
        <w:trHeight w:val="997"/>
      </w:trPr>
      <w:tc>
        <w:tcPr>
          <w:tcW w:w="2944" w:type="dxa"/>
        </w:tcPr>
        <w:p w14:paraId="38B0DC16" w14:textId="77777777" w:rsidR="00EB29AA" w:rsidRDefault="00EB29AA" w:rsidP="00236125">
          <w:pPr>
            <w:pStyle w:val="a5"/>
            <w:rPr>
              <w:b/>
              <w:lang w:val="ru-RU"/>
            </w:rPr>
          </w:pPr>
          <w:r w:rsidRPr="00A97525">
            <w:rPr>
              <w:b/>
              <w:lang w:val="ru-RU"/>
            </w:rPr>
            <w:t>Главный информационный</w:t>
          </w:r>
        </w:p>
        <w:p w14:paraId="7C96D1B6" w14:textId="42E6F68B" w:rsidR="00EB29AA" w:rsidRDefault="00EB29AA" w:rsidP="00236125">
          <w:pPr>
            <w:pStyle w:val="a5"/>
            <w:rPr>
              <w:b/>
              <w:lang w:val="ru-RU"/>
            </w:rPr>
          </w:pPr>
          <w:r>
            <w:rPr>
              <w:b/>
              <w:lang w:val="ru-RU"/>
            </w:rPr>
            <w:t>п</w:t>
          </w:r>
          <w:r w:rsidRPr="00A97525">
            <w:rPr>
              <w:b/>
              <w:lang w:val="ru-RU"/>
            </w:rPr>
            <w:t>артнер</w:t>
          </w:r>
        </w:p>
        <w:p w14:paraId="706F6CBE" w14:textId="5D26FF56" w:rsidR="00EB29AA" w:rsidRPr="00A97525" w:rsidRDefault="00EB29AA" w:rsidP="00236125">
          <w:pPr>
            <w:pStyle w:val="a5"/>
            <w:rPr>
              <w:lang w:val="ru-RU"/>
            </w:rPr>
          </w:pPr>
          <w:r>
            <w:rPr>
              <w:noProof/>
            </w:rPr>
            <w:drawing>
              <wp:inline distT="0" distB="0" distL="0" distR="0" wp14:anchorId="2830C9D2" wp14:editId="241BE5F9">
                <wp:extent cx="1247775" cy="247650"/>
                <wp:effectExtent l="0" t="0" r="9525" b="0"/>
                <wp:docPr id="14" name="picture" descr="D:\Dropbox\Dropbox\VoxIndex\Partners_Logo\interfax_ukraine_logo_uk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3579486" name="picture" descr="D:\Dropbox\Dropbox\VoxIndex\Partners_Logo\interfax_ukraine_logo_uk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557"/>
                        <a:stretch/>
                      </pic:blipFill>
                      <pic:spPr bwMode="auto"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11FBCAB1" w14:textId="531A5175" w:rsidR="00EB29AA" w:rsidRDefault="00EB29AA" w:rsidP="00785F14">
          <w:pPr>
            <w:pStyle w:val="a5"/>
            <w:ind w:left="-993" w:firstLine="993"/>
            <w:rPr>
              <w:lang w:val="ru-RU"/>
            </w:rPr>
          </w:pPr>
          <w:r>
            <w:rPr>
              <w:b/>
              <w:lang w:val="ru-RU"/>
            </w:rPr>
            <w:t>Партнеры проекта</w:t>
          </w:r>
          <w:r w:rsidRPr="00A97525">
            <w:rPr>
              <w:lang w:val="ru-RU"/>
            </w:rPr>
            <w:t xml:space="preserve"> </w:t>
          </w:r>
        </w:p>
        <w:p w14:paraId="0050A662" w14:textId="7944655F" w:rsidR="00EB29AA" w:rsidRPr="00145751" w:rsidRDefault="00EB29AA" w:rsidP="00785F14">
          <w:pPr>
            <w:pStyle w:val="a5"/>
            <w:ind w:left="28" w:hanging="28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FB4BF47" wp14:editId="255A48C3">
                <wp:extent cx="619125" cy="304800"/>
                <wp:effectExtent l="0" t="0" r="9525" b="0"/>
                <wp:docPr id="16" name="Рисунок 532918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3" r="5667"/>
                        <a:stretch/>
                      </pic:blipFill>
                      <pic:spPr bwMode="auto">
                        <a:xfrm>
                          <a:off x="0" y="0"/>
                          <a:ext cx="619960" cy="3052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100E9" wp14:editId="4936922B">
                <wp:extent cx="619125" cy="374393"/>
                <wp:effectExtent l="0" t="0" r="0" b="6985"/>
                <wp:docPr id="17" name="Picture 17" descr="C:\Users\Home\Dropbox\VoxIndex\Partners_Logo\Ca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ome\Dropbox\VoxIndex\Partners_Logo\Ca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317" cy="380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5DB24870" wp14:editId="6E63B2CF">
                <wp:extent cx="809625" cy="295275"/>
                <wp:effectExtent l="0" t="0" r="9525" b="9525"/>
                <wp:docPr id="18" name="picture" descr="C:\Users\Home\Dropbox\VoxIndex\Partners_Logo\logo2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91868" name="picture" descr="C:\Users\Home\Dropbox\VoxIndex\Partners_Logo\logo2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335" cy="30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/>
            </w:rPr>
            <w:t xml:space="preserve"> </w:t>
          </w:r>
          <w:r>
            <w:rPr>
              <w:noProof/>
            </w:rPr>
            <w:drawing>
              <wp:inline distT="0" distB="0" distL="0" distR="0" wp14:anchorId="00F24C27" wp14:editId="105ADF16">
                <wp:extent cx="790575" cy="276225"/>
                <wp:effectExtent l="0" t="0" r="9525" b="9525"/>
                <wp:docPr id="19" name="Picture 19" descr="C:\Users\Home\Dropbox\VoxIndex\Partners_Logo\logo_UA_trans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C:\Users\Home\Dropbox\VoxIndex\Partners_Logo\logo_UA_trans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823" cy="2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  <w:shd w:val="clear" w:color="auto" w:fill="FFFFFF"/>
            </w:rPr>
            <w:drawing>
              <wp:inline distT="0" distB="0" distL="0" distR="0" wp14:anchorId="41F179E5" wp14:editId="67DE147D">
                <wp:extent cx="1000125" cy="227301"/>
                <wp:effectExtent l="0" t="0" r="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cy_ua-01 (1).jpg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84" t="35261" r="5553" b="36268"/>
                        <a:stretch/>
                      </pic:blipFill>
                      <pic:spPr bwMode="auto">
                        <a:xfrm>
                          <a:off x="0" y="0"/>
                          <a:ext cx="1028179" cy="2336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t xml:space="preserve">   </w:t>
          </w:r>
        </w:p>
      </w:tc>
    </w:tr>
  </w:tbl>
  <w:p w14:paraId="5F699E09" w14:textId="64333E45" w:rsidR="00EB29AA" w:rsidRPr="00A97525" w:rsidRDefault="00EB29AA" w:rsidP="00963C19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4C5B" w14:textId="77777777" w:rsidR="00EB29AA" w:rsidRDefault="00EB29AA" w:rsidP="00A64489">
      <w:pPr>
        <w:spacing w:after="0" w:line="240" w:lineRule="auto"/>
      </w:pPr>
      <w:r>
        <w:separator/>
      </w:r>
    </w:p>
  </w:footnote>
  <w:footnote w:type="continuationSeparator" w:id="0">
    <w:p w14:paraId="0C1BE31D" w14:textId="77777777" w:rsidR="00EB29AA" w:rsidRDefault="00EB29AA" w:rsidP="00A6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BED1" w14:textId="1B0196F3" w:rsidR="00EB29AA" w:rsidRPr="003B0FF3" w:rsidRDefault="00EB29AA" w:rsidP="00630D31">
    <w:pPr>
      <w:pStyle w:val="a3"/>
      <w:ind w:left="-994"/>
      <w:rPr>
        <w:rFonts w:ascii="Georgia" w:hAnsi="Georgia"/>
        <w:b/>
        <w:lang w:val="ru-RU"/>
      </w:rPr>
    </w:pPr>
    <w:r w:rsidRPr="003B0FF3">
      <w:rPr>
        <w:rFonts w:ascii="Georgia" w:hAnsi="Georgia"/>
        <w:b/>
        <w:noProof/>
      </w:rPr>
      <w:drawing>
        <wp:anchor distT="0" distB="0" distL="114300" distR="114300" simplePos="0" relativeHeight="251659776" behindDoc="0" locked="0" layoutInCell="1" allowOverlap="1" wp14:anchorId="58B11F6B" wp14:editId="65CFFB74">
          <wp:simplePos x="0" y="0"/>
          <wp:positionH relativeFrom="column">
            <wp:posOffset>4584374</wp:posOffset>
          </wp:positionH>
          <wp:positionV relativeFrom="paragraph">
            <wp:posOffset>46698</wp:posOffset>
          </wp:positionV>
          <wp:extent cx="1795145" cy="688340"/>
          <wp:effectExtent l="0" t="0" r="0" b="0"/>
          <wp:wrapSquare wrapText="bothSides"/>
          <wp:docPr id="1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x_ukraine_logo_by_Antuos-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1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0FF3">
      <w:rPr>
        <w:rFonts w:ascii="Georgia" w:hAnsi="Georgia"/>
        <w:b/>
        <w:lang w:val="ru-RU"/>
      </w:rPr>
      <w:t>Индекс мониторинга реформ (</w:t>
    </w:r>
    <w:r w:rsidRPr="003B0FF3">
      <w:rPr>
        <w:rFonts w:ascii="Georgia" w:hAnsi="Georgia"/>
        <w:b/>
      </w:rPr>
      <w:t>і</w:t>
    </w:r>
    <w:proofErr w:type="spellStart"/>
    <w:r w:rsidRPr="003B0FF3">
      <w:rPr>
        <w:rFonts w:ascii="Georgia" w:hAnsi="Georgia"/>
        <w:b/>
        <w:lang w:val="ru-RU"/>
      </w:rPr>
      <w:t>MoРe</w:t>
    </w:r>
    <w:proofErr w:type="spellEnd"/>
    <w:r w:rsidRPr="003B0FF3">
      <w:rPr>
        <w:rFonts w:ascii="Georgia" w:hAnsi="Georgia"/>
        <w:b/>
        <w:lang w:val="ru-RU"/>
      </w:rPr>
      <w:t>)</w:t>
    </w:r>
  </w:p>
  <w:p w14:paraId="735735A8" w14:textId="04E81745" w:rsidR="00EB29AA" w:rsidRPr="00EB29AA" w:rsidRDefault="00EB29AA" w:rsidP="00630D31">
    <w:pPr>
      <w:pStyle w:val="a3"/>
      <w:spacing w:before="120"/>
      <w:ind w:left="-994"/>
      <w:rPr>
        <w:rFonts w:ascii="Georgia" w:hAnsi="Georgia"/>
        <w:lang w:val="ru-RU"/>
      </w:rPr>
    </w:pPr>
    <w:r w:rsidRPr="003B0FF3">
      <w:rPr>
        <w:rFonts w:ascii="Georgia" w:hAnsi="Georgia"/>
        <w:lang w:val="ru-RU"/>
      </w:rPr>
      <w:t xml:space="preserve">Выпуск </w:t>
    </w:r>
    <w:r>
      <w:rPr>
        <w:rFonts w:ascii="Georgia" w:hAnsi="Georgia"/>
        <w:lang w:val="ru-RU"/>
      </w:rPr>
      <w:t>9</w:t>
    </w:r>
    <w:r w:rsidR="007F2F46">
      <w:rPr>
        <w:rFonts w:ascii="Georgia" w:hAnsi="Georgia"/>
        <w:lang w:val="ru-RU"/>
      </w:rPr>
      <w:t>9</w:t>
    </w:r>
  </w:p>
  <w:p w14:paraId="0DB408E9" w14:textId="62D7DC1F" w:rsidR="00EB29AA" w:rsidRPr="003B0FF3" w:rsidRDefault="00EB29AA" w:rsidP="002A31E2">
    <w:pPr>
      <w:pStyle w:val="a3"/>
      <w:ind w:left="-994"/>
      <w:rPr>
        <w:rFonts w:ascii="Georgia" w:hAnsi="Georgia"/>
        <w:lang w:val="ru-RU"/>
      </w:rPr>
    </w:pPr>
    <w:r w:rsidRPr="003B0FF3">
      <w:rPr>
        <w:rFonts w:ascii="Georgia" w:hAnsi="Georgia"/>
        <w:lang w:val="ru-RU"/>
      </w:rPr>
      <w:t xml:space="preserve">Период мониторинга: </w:t>
    </w:r>
    <w:r w:rsidR="007F2F46">
      <w:rPr>
        <w:rFonts w:ascii="Georgia" w:hAnsi="Georgia"/>
        <w:lang w:val="ru-RU"/>
      </w:rPr>
      <w:t>26</w:t>
    </w:r>
    <w:r>
      <w:rPr>
        <w:rFonts w:ascii="Georgia" w:hAnsi="Georgia"/>
        <w:lang w:val="ru-RU"/>
      </w:rPr>
      <w:t xml:space="preserve"> ноября</w:t>
    </w:r>
    <w:r w:rsidR="007F2F46">
      <w:rPr>
        <w:rFonts w:ascii="Georgia" w:hAnsi="Georgia"/>
        <w:lang w:val="ru-RU"/>
      </w:rPr>
      <w:t xml:space="preserve"> – 9 декабря</w:t>
    </w:r>
    <w:r w:rsidRPr="00D026EE">
      <w:rPr>
        <w:rFonts w:ascii="Georgia" w:hAnsi="Georgia"/>
        <w:lang w:val="ru-RU"/>
      </w:rPr>
      <w:t xml:space="preserve"> 2018</w:t>
    </w:r>
  </w:p>
  <w:p w14:paraId="7D0058E2" w14:textId="77777777" w:rsidR="00EB29AA" w:rsidRPr="002A31E2" w:rsidRDefault="00EB29AA" w:rsidP="002A31E2">
    <w:pPr>
      <w:pStyle w:val="a3"/>
      <w:ind w:left="-99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3F4"/>
    <w:multiLevelType w:val="multilevel"/>
    <w:tmpl w:val="6C7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B47BB"/>
    <w:multiLevelType w:val="multilevel"/>
    <w:tmpl w:val="C4E2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85BB7"/>
    <w:multiLevelType w:val="multilevel"/>
    <w:tmpl w:val="A85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D356F"/>
    <w:multiLevelType w:val="multilevel"/>
    <w:tmpl w:val="4DC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3FEB"/>
    <w:multiLevelType w:val="multilevel"/>
    <w:tmpl w:val="DC9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936B6"/>
    <w:multiLevelType w:val="multilevel"/>
    <w:tmpl w:val="286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130FB"/>
    <w:multiLevelType w:val="multilevel"/>
    <w:tmpl w:val="918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40749"/>
    <w:multiLevelType w:val="multilevel"/>
    <w:tmpl w:val="60D6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644DF"/>
    <w:multiLevelType w:val="multilevel"/>
    <w:tmpl w:val="CA8C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F05EE"/>
    <w:multiLevelType w:val="multilevel"/>
    <w:tmpl w:val="76A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21168"/>
    <w:multiLevelType w:val="multilevel"/>
    <w:tmpl w:val="C4E2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E03C0"/>
    <w:multiLevelType w:val="multilevel"/>
    <w:tmpl w:val="2118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F1D04"/>
    <w:multiLevelType w:val="hybridMultilevel"/>
    <w:tmpl w:val="F8268D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BF3"/>
    <w:multiLevelType w:val="multilevel"/>
    <w:tmpl w:val="6AF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F5A71"/>
    <w:multiLevelType w:val="multilevel"/>
    <w:tmpl w:val="D860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10894"/>
    <w:multiLevelType w:val="multilevel"/>
    <w:tmpl w:val="6CF8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4A0428"/>
    <w:multiLevelType w:val="multilevel"/>
    <w:tmpl w:val="3568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93EC4"/>
    <w:multiLevelType w:val="multilevel"/>
    <w:tmpl w:val="3080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65410"/>
    <w:multiLevelType w:val="multilevel"/>
    <w:tmpl w:val="48F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04B38"/>
    <w:multiLevelType w:val="multilevel"/>
    <w:tmpl w:val="CACC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6687A"/>
    <w:multiLevelType w:val="multilevel"/>
    <w:tmpl w:val="9B5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27336"/>
    <w:multiLevelType w:val="multilevel"/>
    <w:tmpl w:val="5DC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A67F83"/>
    <w:multiLevelType w:val="multilevel"/>
    <w:tmpl w:val="4AE6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B0E07"/>
    <w:multiLevelType w:val="multilevel"/>
    <w:tmpl w:val="AAF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92695"/>
    <w:multiLevelType w:val="multilevel"/>
    <w:tmpl w:val="9E3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F217E"/>
    <w:multiLevelType w:val="multilevel"/>
    <w:tmpl w:val="158C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EB0197"/>
    <w:multiLevelType w:val="multilevel"/>
    <w:tmpl w:val="7F12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C017DC"/>
    <w:multiLevelType w:val="multilevel"/>
    <w:tmpl w:val="F9F6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142DDF"/>
    <w:multiLevelType w:val="multilevel"/>
    <w:tmpl w:val="10C4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39317E"/>
    <w:multiLevelType w:val="hybridMultilevel"/>
    <w:tmpl w:val="D892EF0A"/>
    <w:lvl w:ilvl="0" w:tplc="9BBAA3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 w15:restartNumberingAfterBreak="0">
    <w:nsid w:val="77FB1AFD"/>
    <w:multiLevelType w:val="multilevel"/>
    <w:tmpl w:val="4432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18"/>
  </w:num>
  <w:num w:numId="5">
    <w:abstractNumId w:val="4"/>
  </w:num>
  <w:num w:numId="6">
    <w:abstractNumId w:val="19"/>
  </w:num>
  <w:num w:numId="7">
    <w:abstractNumId w:val="22"/>
  </w:num>
  <w:num w:numId="8">
    <w:abstractNumId w:val="14"/>
  </w:num>
  <w:num w:numId="9">
    <w:abstractNumId w:val="23"/>
  </w:num>
  <w:num w:numId="10">
    <w:abstractNumId w:val="0"/>
  </w:num>
  <w:num w:numId="11">
    <w:abstractNumId w:val="25"/>
  </w:num>
  <w:num w:numId="12">
    <w:abstractNumId w:val="5"/>
  </w:num>
  <w:num w:numId="13">
    <w:abstractNumId w:val="2"/>
  </w:num>
  <w:num w:numId="14">
    <w:abstractNumId w:val="16"/>
  </w:num>
  <w:num w:numId="15">
    <w:abstractNumId w:val="30"/>
  </w:num>
  <w:num w:numId="16">
    <w:abstractNumId w:val="1"/>
  </w:num>
  <w:num w:numId="17">
    <w:abstractNumId w:val="10"/>
  </w:num>
  <w:num w:numId="18">
    <w:abstractNumId w:val="27"/>
  </w:num>
  <w:num w:numId="19">
    <w:abstractNumId w:val="11"/>
  </w:num>
  <w:num w:numId="20">
    <w:abstractNumId w:val="7"/>
  </w:num>
  <w:num w:numId="21">
    <w:abstractNumId w:val="26"/>
  </w:num>
  <w:num w:numId="22">
    <w:abstractNumId w:val="3"/>
  </w:num>
  <w:num w:numId="23">
    <w:abstractNumId w:val="21"/>
  </w:num>
  <w:num w:numId="24">
    <w:abstractNumId w:val="13"/>
  </w:num>
  <w:num w:numId="25">
    <w:abstractNumId w:val="15"/>
  </w:num>
  <w:num w:numId="26">
    <w:abstractNumId w:val="17"/>
  </w:num>
  <w:num w:numId="27">
    <w:abstractNumId w:val="28"/>
  </w:num>
  <w:num w:numId="28">
    <w:abstractNumId w:val="24"/>
  </w:num>
  <w:num w:numId="29">
    <w:abstractNumId w:val="20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c1NrYwMDUytjAxMzZT0lEKTi0uzszPAykwsagFAOvQSWgtAAAA"/>
  </w:docVars>
  <w:rsids>
    <w:rsidRoot w:val="007D02B6"/>
    <w:rsid w:val="0000101B"/>
    <w:rsid w:val="000038F4"/>
    <w:rsid w:val="00005CA0"/>
    <w:rsid w:val="00006102"/>
    <w:rsid w:val="000104B9"/>
    <w:rsid w:val="0001083C"/>
    <w:rsid w:val="00010F5B"/>
    <w:rsid w:val="00011A4C"/>
    <w:rsid w:val="00012DDC"/>
    <w:rsid w:val="00014613"/>
    <w:rsid w:val="000164BB"/>
    <w:rsid w:val="00022BD4"/>
    <w:rsid w:val="000234B1"/>
    <w:rsid w:val="000253F2"/>
    <w:rsid w:val="00025B23"/>
    <w:rsid w:val="0002624C"/>
    <w:rsid w:val="00027935"/>
    <w:rsid w:val="0003374D"/>
    <w:rsid w:val="00033D4D"/>
    <w:rsid w:val="00037907"/>
    <w:rsid w:val="00042D1C"/>
    <w:rsid w:val="000435F8"/>
    <w:rsid w:val="00046261"/>
    <w:rsid w:val="000469B8"/>
    <w:rsid w:val="00046D17"/>
    <w:rsid w:val="000476E1"/>
    <w:rsid w:val="00050261"/>
    <w:rsid w:val="00050503"/>
    <w:rsid w:val="00050C70"/>
    <w:rsid w:val="00052DE4"/>
    <w:rsid w:val="00056CC6"/>
    <w:rsid w:val="00063D6A"/>
    <w:rsid w:val="00064401"/>
    <w:rsid w:val="000644C4"/>
    <w:rsid w:val="00065B52"/>
    <w:rsid w:val="00072E7B"/>
    <w:rsid w:val="0007380C"/>
    <w:rsid w:val="00074412"/>
    <w:rsid w:val="00075655"/>
    <w:rsid w:val="00075A16"/>
    <w:rsid w:val="0008040F"/>
    <w:rsid w:val="00080693"/>
    <w:rsid w:val="00081DFD"/>
    <w:rsid w:val="0008336B"/>
    <w:rsid w:val="00083932"/>
    <w:rsid w:val="00083A74"/>
    <w:rsid w:val="00085FCE"/>
    <w:rsid w:val="00086CE5"/>
    <w:rsid w:val="0008751C"/>
    <w:rsid w:val="00091C78"/>
    <w:rsid w:val="00092F6B"/>
    <w:rsid w:val="00093130"/>
    <w:rsid w:val="000947D5"/>
    <w:rsid w:val="00094C10"/>
    <w:rsid w:val="00095A89"/>
    <w:rsid w:val="00095B6A"/>
    <w:rsid w:val="00096CAE"/>
    <w:rsid w:val="000A1037"/>
    <w:rsid w:val="000A1245"/>
    <w:rsid w:val="000A2CB2"/>
    <w:rsid w:val="000A3DA3"/>
    <w:rsid w:val="000A3F09"/>
    <w:rsid w:val="000A6942"/>
    <w:rsid w:val="000A7C21"/>
    <w:rsid w:val="000A7D24"/>
    <w:rsid w:val="000A7FFC"/>
    <w:rsid w:val="000B22A2"/>
    <w:rsid w:val="000B34EB"/>
    <w:rsid w:val="000B3A69"/>
    <w:rsid w:val="000B3E68"/>
    <w:rsid w:val="000B7385"/>
    <w:rsid w:val="000C42D5"/>
    <w:rsid w:val="000C5328"/>
    <w:rsid w:val="000D2443"/>
    <w:rsid w:val="000D2D07"/>
    <w:rsid w:val="000D390D"/>
    <w:rsid w:val="000D4702"/>
    <w:rsid w:val="000D7918"/>
    <w:rsid w:val="000E1200"/>
    <w:rsid w:val="000E1722"/>
    <w:rsid w:val="000E6634"/>
    <w:rsid w:val="000E680E"/>
    <w:rsid w:val="000E7554"/>
    <w:rsid w:val="000F096E"/>
    <w:rsid w:val="000F7170"/>
    <w:rsid w:val="001009B4"/>
    <w:rsid w:val="00102FC9"/>
    <w:rsid w:val="001040E0"/>
    <w:rsid w:val="001063E0"/>
    <w:rsid w:val="00107432"/>
    <w:rsid w:val="001176D7"/>
    <w:rsid w:val="00122B97"/>
    <w:rsid w:val="001234D8"/>
    <w:rsid w:val="001256F3"/>
    <w:rsid w:val="001267DC"/>
    <w:rsid w:val="00127043"/>
    <w:rsid w:val="0012776D"/>
    <w:rsid w:val="00127F7C"/>
    <w:rsid w:val="00130142"/>
    <w:rsid w:val="00132CE7"/>
    <w:rsid w:val="001333FC"/>
    <w:rsid w:val="00140193"/>
    <w:rsid w:val="001408E2"/>
    <w:rsid w:val="001444F5"/>
    <w:rsid w:val="00145497"/>
    <w:rsid w:val="00145751"/>
    <w:rsid w:val="00150B2E"/>
    <w:rsid w:val="00152ABC"/>
    <w:rsid w:val="001534E8"/>
    <w:rsid w:val="001543C3"/>
    <w:rsid w:val="001545C0"/>
    <w:rsid w:val="00156C04"/>
    <w:rsid w:val="0016176F"/>
    <w:rsid w:val="00163969"/>
    <w:rsid w:val="00164336"/>
    <w:rsid w:val="00166D02"/>
    <w:rsid w:val="001731BC"/>
    <w:rsid w:val="00173E79"/>
    <w:rsid w:val="00176409"/>
    <w:rsid w:val="001800A8"/>
    <w:rsid w:val="0018353B"/>
    <w:rsid w:val="001868CA"/>
    <w:rsid w:val="0018774C"/>
    <w:rsid w:val="001901F5"/>
    <w:rsid w:val="0019486F"/>
    <w:rsid w:val="0019722C"/>
    <w:rsid w:val="001975C2"/>
    <w:rsid w:val="001A204D"/>
    <w:rsid w:val="001A2142"/>
    <w:rsid w:val="001A3ACB"/>
    <w:rsid w:val="001A5645"/>
    <w:rsid w:val="001A63F2"/>
    <w:rsid w:val="001A6488"/>
    <w:rsid w:val="001A6B20"/>
    <w:rsid w:val="001A7A3C"/>
    <w:rsid w:val="001A7DA8"/>
    <w:rsid w:val="001B686B"/>
    <w:rsid w:val="001B70AA"/>
    <w:rsid w:val="001C013C"/>
    <w:rsid w:val="001C040F"/>
    <w:rsid w:val="001C1216"/>
    <w:rsid w:val="001C1501"/>
    <w:rsid w:val="001C586A"/>
    <w:rsid w:val="001C60EB"/>
    <w:rsid w:val="001C67CD"/>
    <w:rsid w:val="001D13E7"/>
    <w:rsid w:val="001D262C"/>
    <w:rsid w:val="001D3560"/>
    <w:rsid w:val="001D3D94"/>
    <w:rsid w:val="001D4AC0"/>
    <w:rsid w:val="001D75C6"/>
    <w:rsid w:val="001E1D12"/>
    <w:rsid w:val="001E2857"/>
    <w:rsid w:val="001E399B"/>
    <w:rsid w:val="001E4F98"/>
    <w:rsid w:val="001E5880"/>
    <w:rsid w:val="001E5963"/>
    <w:rsid w:val="001E6413"/>
    <w:rsid w:val="001F1D1A"/>
    <w:rsid w:val="001F5C83"/>
    <w:rsid w:val="001F694A"/>
    <w:rsid w:val="00203B5A"/>
    <w:rsid w:val="002048EA"/>
    <w:rsid w:val="00205429"/>
    <w:rsid w:val="00205B7E"/>
    <w:rsid w:val="00207238"/>
    <w:rsid w:val="00212087"/>
    <w:rsid w:val="00217403"/>
    <w:rsid w:val="00222752"/>
    <w:rsid w:val="0022380C"/>
    <w:rsid w:val="002256B5"/>
    <w:rsid w:val="00230335"/>
    <w:rsid w:val="00231A56"/>
    <w:rsid w:val="0023550D"/>
    <w:rsid w:val="00236125"/>
    <w:rsid w:val="00237190"/>
    <w:rsid w:val="00241FAF"/>
    <w:rsid w:val="0024274A"/>
    <w:rsid w:val="002431D1"/>
    <w:rsid w:val="00243A3D"/>
    <w:rsid w:val="002450DF"/>
    <w:rsid w:val="00245E28"/>
    <w:rsid w:val="002469E0"/>
    <w:rsid w:val="0024742C"/>
    <w:rsid w:val="00250025"/>
    <w:rsid w:val="00250921"/>
    <w:rsid w:val="00251320"/>
    <w:rsid w:val="00251712"/>
    <w:rsid w:val="00253190"/>
    <w:rsid w:val="00253E56"/>
    <w:rsid w:val="0025418F"/>
    <w:rsid w:val="00256480"/>
    <w:rsid w:val="00262A8D"/>
    <w:rsid w:val="00262EB3"/>
    <w:rsid w:val="00266AE3"/>
    <w:rsid w:val="002678AC"/>
    <w:rsid w:val="002747A3"/>
    <w:rsid w:val="00276698"/>
    <w:rsid w:val="00277941"/>
    <w:rsid w:val="00284818"/>
    <w:rsid w:val="00284D24"/>
    <w:rsid w:val="00285A6C"/>
    <w:rsid w:val="002866C0"/>
    <w:rsid w:val="00287C06"/>
    <w:rsid w:val="002906CF"/>
    <w:rsid w:val="00297BE4"/>
    <w:rsid w:val="002A31E2"/>
    <w:rsid w:val="002A3B52"/>
    <w:rsid w:val="002B026D"/>
    <w:rsid w:val="002B1BA7"/>
    <w:rsid w:val="002B3440"/>
    <w:rsid w:val="002B4C4E"/>
    <w:rsid w:val="002B5988"/>
    <w:rsid w:val="002B5CF3"/>
    <w:rsid w:val="002B7C30"/>
    <w:rsid w:val="002C057D"/>
    <w:rsid w:val="002C06D2"/>
    <w:rsid w:val="002C5009"/>
    <w:rsid w:val="002D1FB0"/>
    <w:rsid w:val="002D30B0"/>
    <w:rsid w:val="002D37C4"/>
    <w:rsid w:val="002D5619"/>
    <w:rsid w:val="002E082A"/>
    <w:rsid w:val="002E288E"/>
    <w:rsid w:val="002E3FDE"/>
    <w:rsid w:val="002E7400"/>
    <w:rsid w:val="002E7A93"/>
    <w:rsid w:val="002F208C"/>
    <w:rsid w:val="002F2344"/>
    <w:rsid w:val="002F499F"/>
    <w:rsid w:val="002F6645"/>
    <w:rsid w:val="002F6CA2"/>
    <w:rsid w:val="002F78D3"/>
    <w:rsid w:val="00300A20"/>
    <w:rsid w:val="003013E1"/>
    <w:rsid w:val="00301FD1"/>
    <w:rsid w:val="00304732"/>
    <w:rsid w:val="00305DCD"/>
    <w:rsid w:val="003069B6"/>
    <w:rsid w:val="00310FD6"/>
    <w:rsid w:val="00311E44"/>
    <w:rsid w:val="0031732E"/>
    <w:rsid w:val="003208D2"/>
    <w:rsid w:val="0032234C"/>
    <w:rsid w:val="00324230"/>
    <w:rsid w:val="003306FC"/>
    <w:rsid w:val="003307A7"/>
    <w:rsid w:val="0033416C"/>
    <w:rsid w:val="003341C8"/>
    <w:rsid w:val="0033442C"/>
    <w:rsid w:val="003369C0"/>
    <w:rsid w:val="00341F61"/>
    <w:rsid w:val="00342584"/>
    <w:rsid w:val="00342E66"/>
    <w:rsid w:val="0034396F"/>
    <w:rsid w:val="00344995"/>
    <w:rsid w:val="00345635"/>
    <w:rsid w:val="0034577D"/>
    <w:rsid w:val="00346DD1"/>
    <w:rsid w:val="00347F11"/>
    <w:rsid w:val="00351BEF"/>
    <w:rsid w:val="003540C6"/>
    <w:rsid w:val="0035415A"/>
    <w:rsid w:val="00355300"/>
    <w:rsid w:val="00360A17"/>
    <w:rsid w:val="00362006"/>
    <w:rsid w:val="003646BD"/>
    <w:rsid w:val="00364C75"/>
    <w:rsid w:val="003702BA"/>
    <w:rsid w:val="0038007E"/>
    <w:rsid w:val="0038049A"/>
    <w:rsid w:val="0038200E"/>
    <w:rsid w:val="003831DB"/>
    <w:rsid w:val="00393744"/>
    <w:rsid w:val="00394E2E"/>
    <w:rsid w:val="003A168F"/>
    <w:rsid w:val="003A44BB"/>
    <w:rsid w:val="003A4F25"/>
    <w:rsid w:val="003A4F9C"/>
    <w:rsid w:val="003B079C"/>
    <w:rsid w:val="003B0FF3"/>
    <w:rsid w:val="003B126C"/>
    <w:rsid w:val="003B3790"/>
    <w:rsid w:val="003B7579"/>
    <w:rsid w:val="003B7C67"/>
    <w:rsid w:val="003C0773"/>
    <w:rsid w:val="003C26FA"/>
    <w:rsid w:val="003C3691"/>
    <w:rsid w:val="003C566E"/>
    <w:rsid w:val="003C6574"/>
    <w:rsid w:val="003D1E9D"/>
    <w:rsid w:val="003D2125"/>
    <w:rsid w:val="003D5C48"/>
    <w:rsid w:val="003E78B0"/>
    <w:rsid w:val="003F0FB6"/>
    <w:rsid w:val="003F11EE"/>
    <w:rsid w:val="003F2C50"/>
    <w:rsid w:val="003F3623"/>
    <w:rsid w:val="003F4C20"/>
    <w:rsid w:val="003F4C9C"/>
    <w:rsid w:val="003F7FA4"/>
    <w:rsid w:val="0040111C"/>
    <w:rsid w:val="004015A2"/>
    <w:rsid w:val="00401CE2"/>
    <w:rsid w:val="00404E52"/>
    <w:rsid w:val="00404E83"/>
    <w:rsid w:val="00405C4C"/>
    <w:rsid w:val="00406B5C"/>
    <w:rsid w:val="00407A29"/>
    <w:rsid w:val="00411DC7"/>
    <w:rsid w:val="00413089"/>
    <w:rsid w:val="00415237"/>
    <w:rsid w:val="0041722D"/>
    <w:rsid w:val="00417722"/>
    <w:rsid w:val="00417BF2"/>
    <w:rsid w:val="00417D2D"/>
    <w:rsid w:val="00417E89"/>
    <w:rsid w:val="00420831"/>
    <w:rsid w:val="00421061"/>
    <w:rsid w:val="00421767"/>
    <w:rsid w:val="00421C36"/>
    <w:rsid w:val="00424BF6"/>
    <w:rsid w:val="004255B3"/>
    <w:rsid w:val="00426767"/>
    <w:rsid w:val="0042683C"/>
    <w:rsid w:val="00426BFC"/>
    <w:rsid w:val="00432A67"/>
    <w:rsid w:val="00433B24"/>
    <w:rsid w:val="00436BBE"/>
    <w:rsid w:val="00436EFE"/>
    <w:rsid w:val="004458D5"/>
    <w:rsid w:val="00451CE1"/>
    <w:rsid w:val="00453AC4"/>
    <w:rsid w:val="0045598E"/>
    <w:rsid w:val="00456378"/>
    <w:rsid w:val="00457F9B"/>
    <w:rsid w:val="0046480E"/>
    <w:rsid w:val="00467D40"/>
    <w:rsid w:val="00467DF1"/>
    <w:rsid w:val="00467E30"/>
    <w:rsid w:val="00471BE2"/>
    <w:rsid w:val="00472A05"/>
    <w:rsid w:val="004739FB"/>
    <w:rsid w:val="00474C7F"/>
    <w:rsid w:val="00474DAD"/>
    <w:rsid w:val="0047596C"/>
    <w:rsid w:val="00477669"/>
    <w:rsid w:val="00477E51"/>
    <w:rsid w:val="00481AA5"/>
    <w:rsid w:val="00483BF8"/>
    <w:rsid w:val="00483C8F"/>
    <w:rsid w:val="00484085"/>
    <w:rsid w:val="0048662F"/>
    <w:rsid w:val="00492898"/>
    <w:rsid w:val="004A2472"/>
    <w:rsid w:val="004A25E2"/>
    <w:rsid w:val="004A49C3"/>
    <w:rsid w:val="004A532C"/>
    <w:rsid w:val="004A625A"/>
    <w:rsid w:val="004A7815"/>
    <w:rsid w:val="004B16DD"/>
    <w:rsid w:val="004B369E"/>
    <w:rsid w:val="004C1202"/>
    <w:rsid w:val="004C1386"/>
    <w:rsid w:val="004C153A"/>
    <w:rsid w:val="004C1E9F"/>
    <w:rsid w:val="004C2727"/>
    <w:rsid w:val="004C3221"/>
    <w:rsid w:val="004C618B"/>
    <w:rsid w:val="004C7267"/>
    <w:rsid w:val="004C7B74"/>
    <w:rsid w:val="004D00E7"/>
    <w:rsid w:val="004D10DA"/>
    <w:rsid w:val="004D2BBC"/>
    <w:rsid w:val="004D3D3A"/>
    <w:rsid w:val="004D4E5F"/>
    <w:rsid w:val="004D54C6"/>
    <w:rsid w:val="004D7D20"/>
    <w:rsid w:val="004E10EC"/>
    <w:rsid w:val="004E538B"/>
    <w:rsid w:val="004E6856"/>
    <w:rsid w:val="004E6AB2"/>
    <w:rsid w:val="004F1520"/>
    <w:rsid w:val="004F1E5B"/>
    <w:rsid w:val="0050176E"/>
    <w:rsid w:val="00502053"/>
    <w:rsid w:val="00505D2C"/>
    <w:rsid w:val="00507D98"/>
    <w:rsid w:val="00512171"/>
    <w:rsid w:val="0051237E"/>
    <w:rsid w:val="00515711"/>
    <w:rsid w:val="005207A6"/>
    <w:rsid w:val="00521D7E"/>
    <w:rsid w:val="005222DF"/>
    <w:rsid w:val="005236A2"/>
    <w:rsid w:val="00523873"/>
    <w:rsid w:val="00524C9A"/>
    <w:rsid w:val="00525BC6"/>
    <w:rsid w:val="0052799C"/>
    <w:rsid w:val="00530698"/>
    <w:rsid w:val="00536E6C"/>
    <w:rsid w:val="0054302A"/>
    <w:rsid w:val="00545F34"/>
    <w:rsid w:val="00545F70"/>
    <w:rsid w:val="00545FAD"/>
    <w:rsid w:val="00546A71"/>
    <w:rsid w:val="00546C4B"/>
    <w:rsid w:val="00552495"/>
    <w:rsid w:val="005525E4"/>
    <w:rsid w:val="005529C0"/>
    <w:rsid w:val="00553A05"/>
    <w:rsid w:val="0055770D"/>
    <w:rsid w:val="00563A5D"/>
    <w:rsid w:val="00565256"/>
    <w:rsid w:val="005670CB"/>
    <w:rsid w:val="005673D8"/>
    <w:rsid w:val="0056757F"/>
    <w:rsid w:val="005677B7"/>
    <w:rsid w:val="00570B98"/>
    <w:rsid w:val="00571741"/>
    <w:rsid w:val="00573D83"/>
    <w:rsid w:val="00573EA5"/>
    <w:rsid w:val="00574390"/>
    <w:rsid w:val="00574F23"/>
    <w:rsid w:val="00576819"/>
    <w:rsid w:val="00576C52"/>
    <w:rsid w:val="00576CD4"/>
    <w:rsid w:val="005771EE"/>
    <w:rsid w:val="00577909"/>
    <w:rsid w:val="00580398"/>
    <w:rsid w:val="005811C4"/>
    <w:rsid w:val="005816C3"/>
    <w:rsid w:val="005867B2"/>
    <w:rsid w:val="00586EB2"/>
    <w:rsid w:val="005911AF"/>
    <w:rsid w:val="005969CD"/>
    <w:rsid w:val="00597612"/>
    <w:rsid w:val="005A1767"/>
    <w:rsid w:val="005A2231"/>
    <w:rsid w:val="005A56CF"/>
    <w:rsid w:val="005B0925"/>
    <w:rsid w:val="005B3F88"/>
    <w:rsid w:val="005B573D"/>
    <w:rsid w:val="005C33C7"/>
    <w:rsid w:val="005C42AF"/>
    <w:rsid w:val="005C579B"/>
    <w:rsid w:val="005C7026"/>
    <w:rsid w:val="005D1108"/>
    <w:rsid w:val="005D2152"/>
    <w:rsid w:val="005D37CE"/>
    <w:rsid w:val="005D47C5"/>
    <w:rsid w:val="005D62D9"/>
    <w:rsid w:val="005D65FC"/>
    <w:rsid w:val="005D7242"/>
    <w:rsid w:val="005E08CE"/>
    <w:rsid w:val="005E3738"/>
    <w:rsid w:val="005E3E5D"/>
    <w:rsid w:val="005E62C7"/>
    <w:rsid w:val="005E735A"/>
    <w:rsid w:val="005E7915"/>
    <w:rsid w:val="005F389E"/>
    <w:rsid w:val="006011AC"/>
    <w:rsid w:val="00602501"/>
    <w:rsid w:val="006037FD"/>
    <w:rsid w:val="00611C72"/>
    <w:rsid w:val="006122B5"/>
    <w:rsid w:val="006153A0"/>
    <w:rsid w:val="00616D24"/>
    <w:rsid w:val="00617D13"/>
    <w:rsid w:val="00620727"/>
    <w:rsid w:val="00621CB1"/>
    <w:rsid w:val="006241B4"/>
    <w:rsid w:val="006256D0"/>
    <w:rsid w:val="00626B90"/>
    <w:rsid w:val="0062778E"/>
    <w:rsid w:val="00630D31"/>
    <w:rsid w:val="00632591"/>
    <w:rsid w:val="006337D4"/>
    <w:rsid w:val="00636573"/>
    <w:rsid w:val="00636C6F"/>
    <w:rsid w:val="00640234"/>
    <w:rsid w:val="00640445"/>
    <w:rsid w:val="00640D09"/>
    <w:rsid w:val="00642395"/>
    <w:rsid w:val="00645AA8"/>
    <w:rsid w:val="006467D8"/>
    <w:rsid w:val="006476DA"/>
    <w:rsid w:val="00647921"/>
    <w:rsid w:val="00650094"/>
    <w:rsid w:val="006524E6"/>
    <w:rsid w:val="00652648"/>
    <w:rsid w:val="006537B9"/>
    <w:rsid w:val="00654282"/>
    <w:rsid w:val="00662BB5"/>
    <w:rsid w:val="00664448"/>
    <w:rsid w:val="00664FA2"/>
    <w:rsid w:val="00665750"/>
    <w:rsid w:val="00666E04"/>
    <w:rsid w:val="00670029"/>
    <w:rsid w:val="00674D45"/>
    <w:rsid w:val="006752B3"/>
    <w:rsid w:val="006766AD"/>
    <w:rsid w:val="00676A24"/>
    <w:rsid w:val="00676D0E"/>
    <w:rsid w:val="0067790F"/>
    <w:rsid w:val="00680C7C"/>
    <w:rsid w:val="0068161C"/>
    <w:rsid w:val="00683517"/>
    <w:rsid w:val="00685FC8"/>
    <w:rsid w:val="00686104"/>
    <w:rsid w:val="00691184"/>
    <w:rsid w:val="006941DA"/>
    <w:rsid w:val="00695429"/>
    <w:rsid w:val="00697065"/>
    <w:rsid w:val="006A09C7"/>
    <w:rsid w:val="006A11B3"/>
    <w:rsid w:val="006A2879"/>
    <w:rsid w:val="006A3B81"/>
    <w:rsid w:val="006A4F88"/>
    <w:rsid w:val="006A5B47"/>
    <w:rsid w:val="006A622C"/>
    <w:rsid w:val="006A66DD"/>
    <w:rsid w:val="006B15EF"/>
    <w:rsid w:val="006B1944"/>
    <w:rsid w:val="006B3259"/>
    <w:rsid w:val="006B5566"/>
    <w:rsid w:val="006C0B74"/>
    <w:rsid w:val="006C0E25"/>
    <w:rsid w:val="006C3084"/>
    <w:rsid w:val="006D1A48"/>
    <w:rsid w:val="006D27F9"/>
    <w:rsid w:val="006D3337"/>
    <w:rsid w:val="006D3BD0"/>
    <w:rsid w:val="006D53A9"/>
    <w:rsid w:val="006E11D2"/>
    <w:rsid w:val="006E4EC7"/>
    <w:rsid w:val="006E5508"/>
    <w:rsid w:val="006F1917"/>
    <w:rsid w:val="006F1F84"/>
    <w:rsid w:val="006F2812"/>
    <w:rsid w:val="007037EE"/>
    <w:rsid w:val="0070522F"/>
    <w:rsid w:val="00705727"/>
    <w:rsid w:val="007110F0"/>
    <w:rsid w:val="007116A7"/>
    <w:rsid w:val="00712899"/>
    <w:rsid w:val="00712A89"/>
    <w:rsid w:val="00712F84"/>
    <w:rsid w:val="00713488"/>
    <w:rsid w:val="007147A9"/>
    <w:rsid w:val="00716A11"/>
    <w:rsid w:val="00720830"/>
    <w:rsid w:val="00720F04"/>
    <w:rsid w:val="0072260A"/>
    <w:rsid w:val="0072274C"/>
    <w:rsid w:val="00722941"/>
    <w:rsid w:val="00723758"/>
    <w:rsid w:val="00723C72"/>
    <w:rsid w:val="00724577"/>
    <w:rsid w:val="00724840"/>
    <w:rsid w:val="007262A4"/>
    <w:rsid w:val="0072655B"/>
    <w:rsid w:val="00731829"/>
    <w:rsid w:val="00732BC6"/>
    <w:rsid w:val="00734479"/>
    <w:rsid w:val="00735564"/>
    <w:rsid w:val="00740FB6"/>
    <w:rsid w:val="00741330"/>
    <w:rsid w:val="00741351"/>
    <w:rsid w:val="00742874"/>
    <w:rsid w:val="007431DB"/>
    <w:rsid w:val="0074403C"/>
    <w:rsid w:val="00750861"/>
    <w:rsid w:val="007508CC"/>
    <w:rsid w:val="00751F64"/>
    <w:rsid w:val="00754A8E"/>
    <w:rsid w:val="00755617"/>
    <w:rsid w:val="00760F89"/>
    <w:rsid w:val="00763002"/>
    <w:rsid w:val="00764543"/>
    <w:rsid w:val="007648B3"/>
    <w:rsid w:val="0076574B"/>
    <w:rsid w:val="00767B57"/>
    <w:rsid w:val="00772777"/>
    <w:rsid w:val="007740BE"/>
    <w:rsid w:val="00776C3A"/>
    <w:rsid w:val="00780830"/>
    <w:rsid w:val="007816A2"/>
    <w:rsid w:val="00783D96"/>
    <w:rsid w:val="00785810"/>
    <w:rsid w:val="00785F14"/>
    <w:rsid w:val="00790D60"/>
    <w:rsid w:val="00791912"/>
    <w:rsid w:val="00797125"/>
    <w:rsid w:val="007A16B7"/>
    <w:rsid w:val="007A65EE"/>
    <w:rsid w:val="007B1746"/>
    <w:rsid w:val="007B2B6B"/>
    <w:rsid w:val="007B3A0C"/>
    <w:rsid w:val="007B54F4"/>
    <w:rsid w:val="007C0957"/>
    <w:rsid w:val="007C0B80"/>
    <w:rsid w:val="007C1FC2"/>
    <w:rsid w:val="007C431D"/>
    <w:rsid w:val="007C4619"/>
    <w:rsid w:val="007C4CB4"/>
    <w:rsid w:val="007D02B6"/>
    <w:rsid w:val="007D0707"/>
    <w:rsid w:val="007D3236"/>
    <w:rsid w:val="007D3C53"/>
    <w:rsid w:val="007D6CB3"/>
    <w:rsid w:val="007E0A45"/>
    <w:rsid w:val="007E1E0B"/>
    <w:rsid w:val="007E2F74"/>
    <w:rsid w:val="007E46D3"/>
    <w:rsid w:val="007F162C"/>
    <w:rsid w:val="007F1C82"/>
    <w:rsid w:val="007F1F8A"/>
    <w:rsid w:val="007F2F46"/>
    <w:rsid w:val="007F2FCB"/>
    <w:rsid w:val="007F4470"/>
    <w:rsid w:val="007F4F88"/>
    <w:rsid w:val="007F6738"/>
    <w:rsid w:val="008074E9"/>
    <w:rsid w:val="00807769"/>
    <w:rsid w:val="00810023"/>
    <w:rsid w:val="0081027E"/>
    <w:rsid w:val="00811DF9"/>
    <w:rsid w:val="00813061"/>
    <w:rsid w:val="00813B28"/>
    <w:rsid w:val="00813C15"/>
    <w:rsid w:val="0081505D"/>
    <w:rsid w:val="008166C4"/>
    <w:rsid w:val="00817045"/>
    <w:rsid w:val="0081729D"/>
    <w:rsid w:val="0082291F"/>
    <w:rsid w:val="008236E4"/>
    <w:rsid w:val="008257F3"/>
    <w:rsid w:val="008264BD"/>
    <w:rsid w:val="00826AAD"/>
    <w:rsid w:val="00826D7B"/>
    <w:rsid w:val="00827BA1"/>
    <w:rsid w:val="00831E95"/>
    <w:rsid w:val="008339F2"/>
    <w:rsid w:val="008352FB"/>
    <w:rsid w:val="008359AE"/>
    <w:rsid w:val="00835C3B"/>
    <w:rsid w:val="00835E45"/>
    <w:rsid w:val="00842F73"/>
    <w:rsid w:val="00847359"/>
    <w:rsid w:val="00851152"/>
    <w:rsid w:val="00851924"/>
    <w:rsid w:val="0086035B"/>
    <w:rsid w:val="008640BC"/>
    <w:rsid w:val="00865DBE"/>
    <w:rsid w:val="00866603"/>
    <w:rsid w:val="00867E5A"/>
    <w:rsid w:val="00870AD7"/>
    <w:rsid w:val="0087206D"/>
    <w:rsid w:val="0087315E"/>
    <w:rsid w:val="00874A16"/>
    <w:rsid w:val="00876B35"/>
    <w:rsid w:val="00877545"/>
    <w:rsid w:val="00877DD6"/>
    <w:rsid w:val="00882A6B"/>
    <w:rsid w:val="00884230"/>
    <w:rsid w:val="00885229"/>
    <w:rsid w:val="00886246"/>
    <w:rsid w:val="00886493"/>
    <w:rsid w:val="00891FB7"/>
    <w:rsid w:val="008926B6"/>
    <w:rsid w:val="00893533"/>
    <w:rsid w:val="00893F2C"/>
    <w:rsid w:val="0089467C"/>
    <w:rsid w:val="00895A7A"/>
    <w:rsid w:val="008A1690"/>
    <w:rsid w:val="008A248E"/>
    <w:rsid w:val="008A2531"/>
    <w:rsid w:val="008B4125"/>
    <w:rsid w:val="008B7CF2"/>
    <w:rsid w:val="008C267F"/>
    <w:rsid w:val="008C45C1"/>
    <w:rsid w:val="008C7373"/>
    <w:rsid w:val="008D019C"/>
    <w:rsid w:val="008D06AC"/>
    <w:rsid w:val="008D1FDA"/>
    <w:rsid w:val="008D2430"/>
    <w:rsid w:val="008D41DA"/>
    <w:rsid w:val="008D5724"/>
    <w:rsid w:val="008D6FC5"/>
    <w:rsid w:val="008D7752"/>
    <w:rsid w:val="008E13EA"/>
    <w:rsid w:val="008E1483"/>
    <w:rsid w:val="008E23A9"/>
    <w:rsid w:val="008E53CB"/>
    <w:rsid w:val="008E5F76"/>
    <w:rsid w:val="008E627D"/>
    <w:rsid w:val="008E78CA"/>
    <w:rsid w:val="008F124B"/>
    <w:rsid w:val="008F2679"/>
    <w:rsid w:val="008F27C0"/>
    <w:rsid w:val="008F3F6C"/>
    <w:rsid w:val="008F650F"/>
    <w:rsid w:val="008F6941"/>
    <w:rsid w:val="009007AF"/>
    <w:rsid w:val="00900835"/>
    <w:rsid w:val="00901367"/>
    <w:rsid w:val="00902DC8"/>
    <w:rsid w:val="00903A9E"/>
    <w:rsid w:val="00907CB5"/>
    <w:rsid w:val="009126C7"/>
    <w:rsid w:val="00914AD2"/>
    <w:rsid w:val="00914AF3"/>
    <w:rsid w:val="00914C5F"/>
    <w:rsid w:val="009160D1"/>
    <w:rsid w:val="00916123"/>
    <w:rsid w:val="00916237"/>
    <w:rsid w:val="00921E73"/>
    <w:rsid w:val="0092315F"/>
    <w:rsid w:val="009238DB"/>
    <w:rsid w:val="0093193B"/>
    <w:rsid w:val="00931F21"/>
    <w:rsid w:val="00932ED2"/>
    <w:rsid w:val="0093421B"/>
    <w:rsid w:val="009363DD"/>
    <w:rsid w:val="00936808"/>
    <w:rsid w:val="00941547"/>
    <w:rsid w:val="00944BCE"/>
    <w:rsid w:val="00944DEA"/>
    <w:rsid w:val="00946896"/>
    <w:rsid w:val="0094734E"/>
    <w:rsid w:val="00947C63"/>
    <w:rsid w:val="00950175"/>
    <w:rsid w:val="00950D72"/>
    <w:rsid w:val="009514B5"/>
    <w:rsid w:val="00953F22"/>
    <w:rsid w:val="009561DC"/>
    <w:rsid w:val="00956802"/>
    <w:rsid w:val="009569EF"/>
    <w:rsid w:val="00956D5D"/>
    <w:rsid w:val="009611B7"/>
    <w:rsid w:val="00961987"/>
    <w:rsid w:val="00963C19"/>
    <w:rsid w:val="009644B9"/>
    <w:rsid w:val="00964C23"/>
    <w:rsid w:val="009660C3"/>
    <w:rsid w:val="009714B3"/>
    <w:rsid w:val="0097280E"/>
    <w:rsid w:val="00972F92"/>
    <w:rsid w:val="009733DF"/>
    <w:rsid w:val="00976258"/>
    <w:rsid w:val="00976F98"/>
    <w:rsid w:val="00980254"/>
    <w:rsid w:val="0098123E"/>
    <w:rsid w:val="009817AB"/>
    <w:rsid w:val="0099023E"/>
    <w:rsid w:val="009903D8"/>
    <w:rsid w:val="0099545A"/>
    <w:rsid w:val="00996248"/>
    <w:rsid w:val="00997AAF"/>
    <w:rsid w:val="00997EB6"/>
    <w:rsid w:val="009A1A68"/>
    <w:rsid w:val="009A6A48"/>
    <w:rsid w:val="009B31A1"/>
    <w:rsid w:val="009B4353"/>
    <w:rsid w:val="009B4FF4"/>
    <w:rsid w:val="009C160F"/>
    <w:rsid w:val="009C685C"/>
    <w:rsid w:val="009C7FC8"/>
    <w:rsid w:val="009D47AE"/>
    <w:rsid w:val="009D47E8"/>
    <w:rsid w:val="009D5845"/>
    <w:rsid w:val="009D7370"/>
    <w:rsid w:val="009E202F"/>
    <w:rsid w:val="009E2A48"/>
    <w:rsid w:val="009E363A"/>
    <w:rsid w:val="009E48A2"/>
    <w:rsid w:val="009E6596"/>
    <w:rsid w:val="009E6BFD"/>
    <w:rsid w:val="009F2E76"/>
    <w:rsid w:val="00A0189C"/>
    <w:rsid w:val="00A035FB"/>
    <w:rsid w:val="00A04160"/>
    <w:rsid w:val="00A04E19"/>
    <w:rsid w:val="00A06524"/>
    <w:rsid w:val="00A065C4"/>
    <w:rsid w:val="00A066B4"/>
    <w:rsid w:val="00A10253"/>
    <w:rsid w:val="00A1235A"/>
    <w:rsid w:val="00A133D6"/>
    <w:rsid w:val="00A1696A"/>
    <w:rsid w:val="00A17C45"/>
    <w:rsid w:val="00A17EB0"/>
    <w:rsid w:val="00A200E6"/>
    <w:rsid w:val="00A222A2"/>
    <w:rsid w:val="00A2346A"/>
    <w:rsid w:val="00A2674F"/>
    <w:rsid w:val="00A325C1"/>
    <w:rsid w:val="00A32F73"/>
    <w:rsid w:val="00A33E41"/>
    <w:rsid w:val="00A35A2C"/>
    <w:rsid w:val="00A35C24"/>
    <w:rsid w:val="00A365DF"/>
    <w:rsid w:val="00A37712"/>
    <w:rsid w:val="00A4169B"/>
    <w:rsid w:val="00A447EB"/>
    <w:rsid w:val="00A46700"/>
    <w:rsid w:val="00A472BE"/>
    <w:rsid w:val="00A505F5"/>
    <w:rsid w:val="00A50BEB"/>
    <w:rsid w:val="00A52E3C"/>
    <w:rsid w:val="00A542C7"/>
    <w:rsid w:val="00A54846"/>
    <w:rsid w:val="00A5492E"/>
    <w:rsid w:val="00A5654D"/>
    <w:rsid w:val="00A57068"/>
    <w:rsid w:val="00A57222"/>
    <w:rsid w:val="00A635FE"/>
    <w:rsid w:val="00A64489"/>
    <w:rsid w:val="00A663FC"/>
    <w:rsid w:val="00A6792B"/>
    <w:rsid w:val="00A679DB"/>
    <w:rsid w:val="00A71B2D"/>
    <w:rsid w:val="00A741DA"/>
    <w:rsid w:val="00A74C1E"/>
    <w:rsid w:val="00A75068"/>
    <w:rsid w:val="00A76541"/>
    <w:rsid w:val="00A767F0"/>
    <w:rsid w:val="00A76F55"/>
    <w:rsid w:val="00A839C8"/>
    <w:rsid w:val="00A862A9"/>
    <w:rsid w:val="00A86602"/>
    <w:rsid w:val="00A91593"/>
    <w:rsid w:val="00A92EA6"/>
    <w:rsid w:val="00A96D37"/>
    <w:rsid w:val="00A96E73"/>
    <w:rsid w:val="00A97525"/>
    <w:rsid w:val="00AA0E99"/>
    <w:rsid w:val="00AA2AD7"/>
    <w:rsid w:val="00AA3455"/>
    <w:rsid w:val="00AA39E2"/>
    <w:rsid w:val="00AA480E"/>
    <w:rsid w:val="00AA78B0"/>
    <w:rsid w:val="00AB15E8"/>
    <w:rsid w:val="00AB2E02"/>
    <w:rsid w:val="00AB4B9B"/>
    <w:rsid w:val="00AB5268"/>
    <w:rsid w:val="00AB6A42"/>
    <w:rsid w:val="00AC1821"/>
    <w:rsid w:val="00AC1D42"/>
    <w:rsid w:val="00AC24EA"/>
    <w:rsid w:val="00AC2A95"/>
    <w:rsid w:val="00AC56C0"/>
    <w:rsid w:val="00AC63A2"/>
    <w:rsid w:val="00AC7D7C"/>
    <w:rsid w:val="00AD4019"/>
    <w:rsid w:val="00AD5BD2"/>
    <w:rsid w:val="00AD5BE7"/>
    <w:rsid w:val="00AD7506"/>
    <w:rsid w:val="00AE1628"/>
    <w:rsid w:val="00AE1A35"/>
    <w:rsid w:val="00AE2BDC"/>
    <w:rsid w:val="00AE2E10"/>
    <w:rsid w:val="00AE34D1"/>
    <w:rsid w:val="00AE5D6C"/>
    <w:rsid w:val="00AF09CE"/>
    <w:rsid w:val="00AF276F"/>
    <w:rsid w:val="00AF33E9"/>
    <w:rsid w:val="00AF3E8B"/>
    <w:rsid w:val="00AF64EB"/>
    <w:rsid w:val="00AF70F2"/>
    <w:rsid w:val="00B015AD"/>
    <w:rsid w:val="00B0214C"/>
    <w:rsid w:val="00B0341F"/>
    <w:rsid w:val="00B03B05"/>
    <w:rsid w:val="00B063E3"/>
    <w:rsid w:val="00B07D90"/>
    <w:rsid w:val="00B1013D"/>
    <w:rsid w:val="00B14B08"/>
    <w:rsid w:val="00B15374"/>
    <w:rsid w:val="00B16931"/>
    <w:rsid w:val="00B21B53"/>
    <w:rsid w:val="00B21CFB"/>
    <w:rsid w:val="00B27EC1"/>
    <w:rsid w:val="00B32D28"/>
    <w:rsid w:val="00B34E6F"/>
    <w:rsid w:val="00B4115C"/>
    <w:rsid w:val="00B419A8"/>
    <w:rsid w:val="00B4233D"/>
    <w:rsid w:val="00B44477"/>
    <w:rsid w:val="00B44B0B"/>
    <w:rsid w:val="00B51421"/>
    <w:rsid w:val="00B5415A"/>
    <w:rsid w:val="00B54CBD"/>
    <w:rsid w:val="00B5643B"/>
    <w:rsid w:val="00B56924"/>
    <w:rsid w:val="00B574DB"/>
    <w:rsid w:val="00B57F82"/>
    <w:rsid w:val="00B61C4C"/>
    <w:rsid w:val="00B61DD2"/>
    <w:rsid w:val="00B62253"/>
    <w:rsid w:val="00B62355"/>
    <w:rsid w:val="00B63743"/>
    <w:rsid w:val="00B64D0E"/>
    <w:rsid w:val="00B66903"/>
    <w:rsid w:val="00B67252"/>
    <w:rsid w:val="00B70424"/>
    <w:rsid w:val="00B70875"/>
    <w:rsid w:val="00B70DB0"/>
    <w:rsid w:val="00B71B97"/>
    <w:rsid w:val="00B71C99"/>
    <w:rsid w:val="00B71EBD"/>
    <w:rsid w:val="00B73FA3"/>
    <w:rsid w:val="00B82EB4"/>
    <w:rsid w:val="00B848F6"/>
    <w:rsid w:val="00B84F3C"/>
    <w:rsid w:val="00B8507F"/>
    <w:rsid w:val="00B867E6"/>
    <w:rsid w:val="00B86C09"/>
    <w:rsid w:val="00B86DA0"/>
    <w:rsid w:val="00B90802"/>
    <w:rsid w:val="00B90A01"/>
    <w:rsid w:val="00B917A7"/>
    <w:rsid w:val="00B92F2D"/>
    <w:rsid w:val="00B971C3"/>
    <w:rsid w:val="00BA156A"/>
    <w:rsid w:val="00BA2B57"/>
    <w:rsid w:val="00BA3B55"/>
    <w:rsid w:val="00BA56AF"/>
    <w:rsid w:val="00BA5ED8"/>
    <w:rsid w:val="00BB131C"/>
    <w:rsid w:val="00BB448B"/>
    <w:rsid w:val="00BB6D6D"/>
    <w:rsid w:val="00BB72F1"/>
    <w:rsid w:val="00BB75BB"/>
    <w:rsid w:val="00BC16AC"/>
    <w:rsid w:val="00BC26E4"/>
    <w:rsid w:val="00BC4E8B"/>
    <w:rsid w:val="00BC5E6F"/>
    <w:rsid w:val="00BC6D63"/>
    <w:rsid w:val="00BD2E33"/>
    <w:rsid w:val="00BD47AD"/>
    <w:rsid w:val="00BD58FD"/>
    <w:rsid w:val="00BD64A9"/>
    <w:rsid w:val="00BE27DB"/>
    <w:rsid w:val="00BE2D2A"/>
    <w:rsid w:val="00BE5833"/>
    <w:rsid w:val="00BE6487"/>
    <w:rsid w:val="00BF020B"/>
    <w:rsid w:val="00BF5382"/>
    <w:rsid w:val="00BF6F54"/>
    <w:rsid w:val="00C013E8"/>
    <w:rsid w:val="00C02924"/>
    <w:rsid w:val="00C037A7"/>
    <w:rsid w:val="00C051C6"/>
    <w:rsid w:val="00C056A6"/>
    <w:rsid w:val="00C06D52"/>
    <w:rsid w:val="00C06DDB"/>
    <w:rsid w:val="00C07A49"/>
    <w:rsid w:val="00C128C4"/>
    <w:rsid w:val="00C13EBC"/>
    <w:rsid w:val="00C17CD7"/>
    <w:rsid w:val="00C200BC"/>
    <w:rsid w:val="00C24011"/>
    <w:rsid w:val="00C25C24"/>
    <w:rsid w:val="00C30630"/>
    <w:rsid w:val="00C34370"/>
    <w:rsid w:val="00C37B58"/>
    <w:rsid w:val="00C40D23"/>
    <w:rsid w:val="00C42396"/>
    <w:rsid w:val="00C503FF"/>
    <w:rsid w:val="00C50EC3"/>
    <w:rsid w:val="00C57BD5"/>
    <w:rsid w:val="00C612BF"/>
    <w:rsid w:val="00C6134E"/>
    <w:rsid w:val="00C65D77"/>
    <w:rsid w:val="00C6607D"/>
    <w:rsid w:val="00C67950"/>
    <w:rsid w:val="00C71515"/>
    <w:rsid w:val="00C71624"/>
    <w:rsid w:val="00C73A54"/>
    <w:rsid w:val="00C74CE1"/>
    <w:rsid w:val="00C81369"/>
    <w:rsid w:val="00C8184B"/>
    <w:rsid w:val="00C81A52"/>
    <w:rsid w:val="00C81BD3"/>
    <w:rsid w:val="00C821E0"/>
    <w:rsid w:val="00C83E26"/>
    <w:rsid w:val="00C8628F"/>
    <w:rsid w:val="00C90D1A"/>
    <w:rsid w:val="00C93021"/>
    <w:rsid w:val="00C931A9"/>
    <w:rsid w:val="00C94BCA"/>
    <w:rsid w:val="00C96AD8"/>
    <w:rsid w:val="00CA0D46"/>
    <w:rsid w:val="00CA2380"/>
    <w:rsid w:val="00CA3D70"/>
    <w:rsid w:val="00CA41FD"/>
    <w:rsid w:val="00CA64C7"/>
    <w:rsid w:val="00CA76E4"/>
    <w:rsid w:val="00CA7A66"/>
    <w:rsid w:val="00CA7D4A"/>
    <w:rsid w:val="00CB3A66"/>
    <w:rsid w:val="00CB4E0D"/>
    <w:rsid w:val="00CB6DE9"/>
    <w:rsid w:val="00CB7256"/>
    <w:rsid w:val="00CC1A8E"/>
    <w:rsid w:val="00CC2EA8"/>
    <w:rsid w:val="00CC3717"/>
    <w:rsid w:val="00CC44CE"/>
    <w:rsid w:val="00CD03F5"/>
    <w:rsid w:val="00CD364D"/>
    <w:rsid w:val="00CD4FA5"/>
    <w:rsid w:val="00CD4FC2"/>
    <w:rsid w:val="00CD50C4"/>
    <w:rsid w:val="00CD7E20"/>
    <w:rsid w:val="00CE51A1"/>
    <w:rsid w:val="00CE6904"/>
    <w:rsid w:val="00CE6FFF"/>
    <w:rsid w:val="00CF303B"/>
    <w:rsid w:val="00CF30BC"/>
    <w:rsid w:val="00CF3B9D"/>
    <w:rsid w:val="00CF3CE9"/>
    <w:rsid w:val="00CF4E74"/>
    <w:rsid w:val="00D00414"/>
    <w:rsid w:val="00D026EE"/>
    <w:rsid w:val="00D14802"/>
    <w:rsid w:val="00D14E73"/>
    <w:rsid w:val="00D16BDC"/>
    <w:rsid w:val="00D22FDB"/>
    <w:rsid w:val="00D23B3B"/>
    <w:rsid w:val="00D251D0"/>
    <w:rsid w:val="00D27367"/>
    <w:rsid w:val="00D32827"/>
    <w:rsid w:val="00D4176A"/>
    <w:rsid w:val="00D4238F"/>
    <w:rsid w:val="00D42621"/>
    <w:rsid w:val="00D429BE"/>
    <w:rsid w:val="00D42CD4"/>
    <w:rsid w:val="00D452B3"/>
    <w:rsid w:val="00D47293"/>
    <w:rsid w:val="00D5039C"/>
    <w:rsid w:val="00D57353"/>
    <w:rsid w:val="00D61FCB"/>
    <w:rsid w:val="00D6212B"/>
    <w:rsid w:val="00D62881"/>
    <w:rsid w:val="00D64E79"/>
    <w:rsid w:val="00D72F8E"/>
    <w:rsid w:val="00D74D00"/>
    <w:rsid w:val="00D7795E"/>
    <w:rsid w:val="00D8408D"/>
    <w:rsid w:val="00D8484F"/>
    <w:rsid w:val="00D85A93"/>
    <w:rsid w:val="00D863A0"/>
    <w:rsid w:val="00D8668C"/>
    <w:rsid w:val="00D906FF"/>
    <w:rsid w:val="00D9082B"/>
    <w:rsid w:val="00D924F0"/>
    <w:rsid w:val="00DA13BC"/>
    <w:rsid w:val="00DA1402"/>
    <w:rsid w:val="00DA141C"/>
    <w:rsid w:val="00DA15DD"/>
    <w:rsid w:val="00DA3F45"/>
    <w:rsid w:val="00DA4A28"/>
    <w:rsid w:val="00DB0218"/>
    <w:rsid w:val="00DB0319"/>
    <w:rsid w:val="00DB2952"/>
    <w:rsid w:val="00DB2CD0"/>
    <w:rsid w:val="00DB40C6"/>
    <w:rsid w:val="00DC00DB"/>
    <w:rsid w:val="00DC1057"/>
    <w:rsid w:val="00DC1751"/>
    <w:rsid w:val="00DC1BD7"/>
    <w:rsid w:val="00DC386A"/>
    <w:rsid w:val="00DC4F00"/>
    <w:rsid w:val="00DD07E1"/>
    <w:rsid w:val="00DD56AC"/>
    <w:rsid w:val="00DD7AEF"/>
    <w:rsid w:val="00DD7F2D"/>
    <w:rsid w:val="00DE228A"/>
    <w:rsid w:val="00DE3059"/>
    <w:rsid w:val="00DE5EBF"/>
    <w:rsid w:val="00DE6FA6"/>
    <w:rsid w:val="00DF0D01"/>
    <w:rsid w:val="00DF1D2F"/>
    <w:rsid w:val="00DF1E25"/>
    <w:rsid w:val="00DF213B"/>
    <w:rsid w:val="00DF27E7"/>
    <w:rsid w:val="00DF5EBC"/>
    <w:rsid w:val="00DF77E2"/>
    <w:rsid w:val="00E066A6"/>
    <w:rsid w:val="00E0704C"/>
    <w:rsid w:val="00E07061"/>
    <w:rsid w:val="00E12504"/>
    <w:rsid w:val="00E13FF6"/>
    <w:rsid w:val="00E151E9"/>
    <w:rsid w:val="00E153C0"/>
    <w:rsid w:val="00E205FB"/>
    <w:rsid w:val="00E20C99"/>
    <w:rsid w:val="00E2204B"/>
    <w:rsid w:val="00E23801"/>
    <w:rsid w:val="00E244DF"/>
    <w:rsid w:val="00E25278"/>
    <w:rsid w:val="00E3000D"/>
    <w:rsid w:val="00E32B3C"/>
    <w:rsid w:val="00E3379D"/>
    <w:rsid w:val="00E347CF"/>
    <w:rsid w:val="00E353A2"/>
    <w:rsid w:val="00E4305F"/>
    <w:rsid w:val="00E45C57"/>
    <w:rsid w:val="00E468BB"/>
    <w:rsid w:val="00E52063"/>
    <w:rsid w:val="00E52619"/>
    <w:rsid w:val="00E5320C"/>
    <w:rsid w:val="00E53F10"/>
    <w:rsid w:val="00E55AB8"/>
    <w:rsid w:val="00E56433"/>
    <w:rsid w:val="00E5660C"/>
    <w:rsid w:val="00E60E99"/>
    <w:rsid w:val="00E6334D"/>
    <w:rsid w:val="00E67735"/>
    <w:rsid w:val="00E6774B"/>
    <w:rsid w:val="00E67B0D"/>
    <w:rsid w:val="00E714DC"/>
    <w:rsid w:val="00E71D0B"/>
    <w:rsid w:val="00E73288"/>
    <w:rsid w:val="00E77CE5"/>
    <w:rsid w:val="00E80465"/>
    <w:rsid w:val="00E806FC"/>
    <w:rsid w:val="00E812B4"/>
    <w:rsid w:val="00E82775"/>
    <w:rsid w:val="00E82EDD"/>
    <w:rsid w:val="00E83775"/>
    <w:rsid w:val="00E8520A"/>
    <w:rsid w:val="00E86A45"/>
    <w:rsid w:val="00E91037"/>
    <w:rsid w:val="00E92850"/>
    <w:rsid w:val="00E93AB8"/>
    <w:rsid w:val="00E97E20"/>
    <w:rsid w:val="00EA14B0"/>
    <w:rsid w:val="00EA313C"/>
    <w:rsid w:val="00EA389B"/>
    <w:rsid w:val="00EA4C44"/>
    <w:rsid w:val="00EB2150"/>
    <w:rsid w:val="00EB21DE"/>
    <w:rsid w:val="00EB22B3"/>
    <w:rsid w:val="00EB29AA"/>
    <w:rsid w:val="00EB3C05"/>
    <w:rsid w:val="00EB3E99"/>
    <w:rsid w:val="00EB5519"/>
    <w:rsid w:val="00EB5E56"/>
    <w:rsid w:val="00EB64DF"/>
    <w:rsid w:val="00EB6E22"/>
    <w:rsid w:val="00EB700F"/>
    <w:rsid w:val="00EC2E1E"/>
    <w:rsid w:val="00EC51D2"/>
    <w:rsid w:val="00ED03EE"/>
    <w:rsid w:val="00ED3E04"/>
    <w:rsid w:val="00EE0982"/>
    <w:rsid w:val="00EE0B42"/>
    <w:rsid w:val="00EE2529"/>
    <w:rsid w:val="00EE3C3E"/>
    <w:rsid w:val="00EE495D"/>
    <w:rsid w:val="00EE4A18"/>
    <w:rsid w:val="00EE54FC"/>
    <w:rsid w:val="00EE60B2"/>
    <w:rsid w:val="00EF264F"/>
    <w:rsid w:val="00EF7244"/>
    <w:rsid w:val="00F01E38"/>
    <w:rsid w:val="00F03895"/>
    <w:rsid w:val="00F05104"/>
    <w:rsid w:val="00F0545E"/>
    <w:rsid w:val="00F10D76"/>
    <w:rsid w:val="00F10DAA"/>
    <w:rsid w:val="00F11C26"/>
    <w:rsid w:val="00F1211F"/>
    <w:rsid w:val="00F123EB"/>
    <w:rsid w:val="00F12DDA"/>
    <w:rsid w:val="00F1752E"/>
    <w:rsid w:val="00F17619"/>
    <w:rsid w:val="00F25580"/>
    <w:rsid w:val="00F25AB2"/>
    <w:rsid w:val="00F25B7B"/>
    <w:rsid w:val="00F337F8"/>
    <w:rsid w:val="00F34885"/>
    <w:rsid w:val="00F356A8"/>
    <w:rsid w:val="00F35D9A"/>
    <w:rsid w:val="00F35E06"/>
    <w:rsid w:val="00F363D3"/>
    <w:rsid w:val="00F42117"/>
    <w:rsid w:val="00F46FD9"/>
    <w:rsid w:val="00F52D7F"/>
    <w:rsid w:val="00F538BD"/>
    <w:rsid w:val="00F54770"/>
    <w:rsid w:val="00F554EE"/>
    <w:rsid w:val="00F61A1A"/>
    <w:rsid w:val="00F61EE1"/>
    <w:rsid w:val="00F620DD"/>
    <w:rsid w:val="00F72B62"/>
    <w:rsid w:val="00F72E15"/>
    <w:rsid w:val="00F748F3"/>
    <w:rsid w:val="00F74E88"/>
    <w:rsid w:val="00F7616C"/>
    <w:rsid w:val="00F76D6B"/>
    <w:rsid w:val="00F80B3B"/>
    <w:rsid w:val="00F80C47"/>
    <w:rsid w:val="00F81042"/>
    <w:rsid w:val="00F838F2"/>
    <w:rsid w:val="00F9081A"/>
    <w:rsid w:val="00F93B43"/>
    <w:rsid w:val="00F95784"/>
    <w:rsid w:val="00F973D6"/>
    <w:rsid w:val="00FA3182"/>
    <w:rsid w:val="00FA49C9"/>
    <w:rsid w:val="00FA5A72"/>
    <w:rsid w:val="00FA7427"/>
    <w:rsid w:val="00FB07D7"/>
    <w:rsid w:val="00FB15A6"/>
    <w:rsid w:val="00FB5784"/>
    <w:rsid w:val="00FC2F65"/>
    <w:rsid w:val="00FC2FAE"/>
    <w:rsid w:val="00FC3CBF"/>
    <w:rsid w:val="00FC700C"/>
    <w:rsid w:val="00FD0C16"/>
    <w:rsid w:val="00FD176C"/>
    <w:rsid w:val="00FD2ECE"/>
    <w:rsid w:val="00FD2F71"/>
    <w:rsid w:val="00FD59AC"/>
    <w:rsid w:val="00FD6B41"/>
    <w:rsid w:val="00FE083A"/>
    <w:rsid w:val="00FE38A4"/>
    <w:rsid w:val="00FE3FFE"/>
    <w:rsid w:val="00FE49BD"/>
    <w:rsid w:val="00FF032C"/>
    <w:rsid w:val="00FF32E8"/>
    <w:rsid w:val="00FF5190"/>
    <w:rsid w:val="00FF712F"/>
    <w:rsid w:val="00FF7BAE"/>
    <w:rsid w:val="149B3FE9"/>
    <w:rsid w:val="2750D01D"/>
    <w:rsid w:val="28498BCA"/>
    <w:rsid w:val="2A782B18"/>
    <w:rsid w:val="2E40101C"/>
    <w:rsid w:val="49A26993"/>
    <w:rsid w:val="52166679"/>
    <w:rsid w:val="5D6B3AB7"/>
    <w:rsid w:val="7DF6E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BC19CAF"/>
  <w15:docId w15:val="{7B1E8810-D5A1-4327-A714-B72759C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4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4489"/>
  </w:style>
  <w:style w:type="paragraph" w:styleId="a5">
    <w:name w:val="footer"/>
    <w:basedOn w:val="a"/>
    <w:link w:val="a6"/>
    <w:uiPriority w:val="99"/>
    <w:unhideWhenUsed/>
    <w:rsid w:val="00A644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4489"/>
  </w:style>
  <w:style w:type="paragraph" w:styleId="a7">
    <w:name w:val="Balloon Text"/>
    <w:basedOn w:val="a"/>
    <w:link w:val="a8"/>
    <w:uiPriority w:val="99"/>
    <w:semiHidden/>
    <w:unhideWhenUsed/>
    <w:rsid w:val="00A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644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0957"/>
  </w:style>
  <w:style w:type="character" w:styleId="aa">
    <w:name w:val="Hyperlink"/>
    <w:basedOn w:val="a0"/>
    <w:uiPriority w:val="99"/>
    <w:unhideWhenUsed/>
    <w:rsid w:val="007C095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B4B9B"/>
    <w:rPr>
      <w:color w:val="800080" w:themeColor="followedHyperlink"/>
      <w:u w:val="single"/>
    </w:rPr>
  </w:style>
  <w:style w:type="table" w:customStyle="1" w:styleId="1">
    <w:name w:val="Сетка таблицы светлая1"/>
    <w:basedOn w:val="a1"/>
    <w:uiPriority w:val="40"/>
    <w:rsid w:val="00D251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ps">
    <w:name w:val="hps"/>
    <w:basedOn w:val="a0"/>
    <w:rsid w:val="00A97525"/>
  </w:style>
  <w:style w:type="paragraph" w:styleId="ac">
    <w:name w:val="Document Map"/>
    <w:basedOn w:val="a"/>
    <w:link w:val="ad"/>
    <w:uiPriority w:val="99"/>
    <w:semiHidden/>
    <w:unhideWhenUsed/>
    <w:rsid w:val="0095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569E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F70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56D5D"/>
    <w:rPr>
      <w:b/>
      <w:bCs/>
    </w:rPr>
  </w:style>
  <w:style w:type="paragraph" w:styleId="af0">
    <w:name w:val="List Paragraph"/>
    <w:basedOn w:val="a"/>
    <w:uiPriority w:val="34"/>
    <w:qFormat/>
    <w:rsid w:val="001E399B"/>
    <w:pPr>
      <w:ind w:left="720"/>
      <w:contextualSpacing/>
    </w:pPr>
  </w:style>
  <w:style w:type="paragraph" w:customStyle="1" w:styleId="Body">
    <w:name w:val="Body"/>
    <w:rsid w:val="008264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character" w:customStyle="1" w:styleId="apple-tab-span">
    <w:name w:val="apple-tab-span"/>
    <w:basedOn w:val="a0"/>
    <w:rsid w:val="00686104"/>
  </w:style>
  <w:style w:type="character" w:customStyle="1" w:styleId="gt-ft-text">
    <w:name w:val="gt-ft-text"/>
    <w:basedOn w:val="a0"/>
    <w:rsid w:val="00932ED2"/>
  </w:style>
  <w:style w:type="paragraph" w:styleId="HTML">
    <w:name w:val="HTML Preformatted"/>
    <w:basedOn w:val="a"/>
    <w:link w:val="HTML0"/>
    <w:uiPriority w:val="99"/>
    <w:unhideWhenUsed/>
    <w:rsid w:val="00BF6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F6F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2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8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k.gov.ua/document/download?docId=833291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k.gov.ua/doccatalog/document;jsessionid=88CE336067904F8C70ECE96C1AE38B6A?id=50650698&amp;fbclid=IwAR2pP60aEhJZEvlnsU0rXmzEPf3Q3Xemw_S27kcr1LOLUcIn2jvO5sPNTy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akon.rada.gov.ua/laws/show/v0098500-0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liep\Dropbox\VoxIndex\SurveyCalculation\2018_12_16_r99\Index_2018_12_18_r9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072894297303731E-2"/>
          <c:y val="5.0351563197457455E-2"/>
          <c:w val="0.89267458045017123"/>
          <c:h val="0.76316890881913302"/>
        </c:manualLayout>
      </c:layout>
      <c:barChart>
        <c:barDir val="col"/>
        <c:grouping val="clustered"/>
        <c:varyColors val="0"/>
        <c:ser>
          <c:idx val="2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134-43CB-869C-A1880D858DBC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іMoRe</c:v>
                </c:pt>
                <c:pt idx="1">
                  <c:v>Гос. управление</c:v>
                </c:pt>
                <c:pt idx="2">
                  <c:v>Гос. финансы</c:v>
                </c:pt>
                <c:pt idx="3">
                  <c:v>Монетарная система</c:v>
                </c:pt>
                <c:pt idx="4">
                  <c:v>Бизнес среда</c:v>
                </c:pt>
                <c:pt idx="5">
                  <c:v>Энергетика</c:v>
                </c:pt>
              </c:strCache>
            </c:strRef>
          </c:cat>
          <c:val>
            <c:numRef>
              <c:f>Sheet1!$B$2:$B$7</c:f>
              <c:numCache>
                <c:formatCode>0.0</c:formatCode>
                <c:ptCount val="6"/>
                <c:pt idx="0">
                  <c:v>0.6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34-43CB-869C-A1880D858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5000448"/>
        <c:axId val="583190784"/>
      </c:barChart>
      <c:catAx>
        <c:axId val="62500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Georgia" panose="02040502050405020303" pitchFamily="18" charset="0"/>
              </a:defRPr>
            </a:pPr>
            <a:endParaRPr lang="uk-UA"/>
          </a:p>
        </c:txPr>
        <c:crossAx val="583190784"/>
        <c:crosses val="autoZero"/>
        <c:auto val="1"/>
        <c:lblAlgn val="ctr"/>
        <c:lblOffset val="100"/>
        <c:noMultiLvlLbl val="0"/>
      </c:catAx>
      <c:valAx>
        <c:axId val="583190784"/>
        <c:scaling>
          <c:orientation val="minMax"/>
          <c:max val="3"/>
          <c:min val="0"/>
        </c:scaling>
        <c:delete val="0"/>
        <c:axPos val="l"/>
        <c:numFmt formatCode="0" sourceLinked="0"/>
        <c:majorTickMark val="in"/>
        <c:minorTickMark val="none"/>
        <c:tickLblPos val="nextTo"/>
        <c:spPr>
          <a:ln/>
        </c:spPr>
        <c:txPr>
          <a:bodyPr/>
          <a:lstStyle/>
          <a:p>
            <a:pPr>
              <a:defRPr sz="1000">
                <a:latin typeface="Georgia" panose="02040502050405020303" pitchFamily="18" charset="0"/>
              </a:defRPr>
            </a:pPr>
            <a:endParaRPr lang="uk-UA"/>
          </a:p>
        </c:txPr>
        <c:crossAx val="625000448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5934224844397507"/>
          <c:y val="3.065874434407348E-4"/>
          <c:w val="0.39581470222867066"/>
          <c:h val="0.97764594959610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Національний банк розробив Методичні рекомендації щодо організації корпоративного управління в банках України</c:v>
                </c:pt>
                <c:pt idx="1">
                  <c:v>НБУ дав "зелене світло" для електронного документообігу в банківській системі</c:v>
                </c:pt>
                <c:pt idx="2">
                  <c:v>Національний банк спростив умови екстреної підтримки ліквідності банків</c:v>
                </c:pt>
                <c:pt idx="3">
                  <c:v>Закон про Державний бюджет України на 2019 рік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4-4BE7-A87F-4A15D4B16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2581120"/>
        <c:axId val="583192512"/>
      </c:barChart>
      <c:catAx>
        <c:axId val="6325811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000"/>
            </a:pPr>
            <a:endParaRPr lang="uk-UA"/>
          </a:p>
        </c:txPr>
        <c:crossAx val="583192512"/>
        <c:crosses val="autoZero"/>
        <c:auto val="1"/>
        <c:lblAlgn val="ctr"/>
        <c:lblOffset val="800"/>
        <c:noMultiLvlLbl val="0"/>
      </c:catAx>
      <c:valAx>
        <c:axId val="583192512"/>
        <c:scaling>
          <c:orientation val="minMax"/>
          <c:max val="10"/>
          <c:min val="-5"/>
        </c:scaling>
        <c:delete val="1"/>
        <c:axPos val="t"/>
        <c:numFmt formatCode="0.0" sourceLinked="1"/>
        <c:majorTickMark val="out"/>
        <c:minorTickMark val="none"/>
        <c:tickLblPos val="nextTo"/>
        <c:crossAx val="632581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50">
          <a:latin typeface="Georgia" panose="02040502050405020303" pitchFamily="18" charset="0"/>
        </a:defRPr>
      </a:pPr>
      <a:endParaRPr lang="uk-UA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03476100220914"/>
          <c:y val="5.3206109652960049E-2"/>
          <c:w val="0.84811324813906452"/>
          <c:h val="0.92019951395305821"/>
        </c:manualLayout>
      </c:layout>
      <c:scatterChart>
        <c:scatterStyle val="lineMarker"/>
        <c:varyColors val="0"/>
        <c:ser>
          <c:idx val="3"/>
          <c:order val="0"/>
          <c:tx>
            <c:strRef>
              <c:f>SCATTERPLOT!$E$7</c:f>
              <c:strCache>
                <c:ptCount val="1"/>
                <c:pt idx="0">
                  <c:v>Business Environment</c:v>
                </c:pt>
              </c:strCache>
            </c:strRef>
          </c:tx>
          <c:spPr>
            <a:ln w="28575">
              <a:solidFill>
                <a:schemeClr val="accent6"/>
              </a:solidFill>
            </a:ln>
          </c:spPr>
          <c:marker>
            <c:symbol val="circle"/>
            <c:size val="16"/>
            <c:spPr>
              <a:solidFill>
                <a:schemeClr val="accent6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1.2924240689623006E-2"/>
                  <c:y val="0.12962962962962971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 среда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2E-410D-9919-0DC5BA6E1521}"/>
                </c:ext>
              </c:extLst>
            </c:dLbl>
            <c:dLbl>
              <c:idx val="1"/>
              <c:layout>
                <c:manualLayout>
                  <c:x val="-0.10095250323248636"/>
                  <c:y val="-5.511450700165365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Бизнес среда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72221727534461"/>
                      <c:h val="4.7361111111111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32E-410D-9919-0DC5BA6E1521}"/>
                </c:ext>
              </c:extLst>
            </c:dLbl>
            <c:dLbl>
              <c:idx val="2"/>
              <c:layout>
                <c:manualLayout>
                  <c:x val="-8.580260262297584E-3"/>
                  <c:y val="3.818277923592883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 среда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2E-410D-9919-0DC5BA6E1521}"/>
                </c:ext>
              </c:extLst>
            </c:dLbl>
            <c:dLbl>
              <c:idx val="3"/>
              <c:layout>
                <c:manualLayout>
                  <c:x val="-7.3187216702920209E-3"/>
                  <c:y val="-5.7050160396617091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2E-410D-9919-0DC5BA6E1521}"/>
                </c:ext>
              </c:extLst>
            </c:dLbl>
            <c:dLbl>
              <c:idx val="4"/>
              <c:layout>
                <c:manualLayout>
                  <c:x val="-1.456434262356947E-2"/>
                  <c:y val="-3.6453776611256925E-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2E-410D-9919-0DC5BA6E1521}"/>
                </c:ext>
              </c:extLst>
            </c:dLbl>
            <c:dLbl>
              <c:idx val="5"/>
              <c:layout>
                <c:manualLayout>
                  <c:x val="-7.1082390953150248E-2"/>
                  <c:y val="-7.870479731700204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Бізнес середовище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2E-410D-9919-0DC5BA6E1521}"/>
                </c:ext>
              </c:extLst>
            </c:dLbl>
            <c:dLbl>
              <c:idx val="6"/>
              <c:layout>
                <c:manualLayout>
                  <c:x val="-5.600447763092626E-2"/>
                  <c:y val="-7.407407407407409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 среда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2E-410D-9919-0DC5BA6E1521}"/>
                </c:ext>
              </c:extLst>
            </c:dLbl>
            <c:dLbl>
              <c:idx val="7"/>
              <c:layout>
                <c:manualLayout>
                  <c:x val="-8.4006462035541268E-2"/>
                  <c:y val="-8.333333333333332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2E-410D-9919-0DC5BA6E1521}"/>
                </c:ext>
              </c:extLst>
            </c:dLbl>
            <c:dLbl>
              <c:idx val="8"/>
              <c:layout>
                <c:manualLayout>
                  <c:x val="-9.9084544964997467E-2"/>
                  <c:y val="-9.312518226888305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2E-410D-9919-0DC5BA6E1521}"/>
                </c:ext>
              </c:extLst>
            </c:dLbl>
            <c:dLbl>
              <c:idx val="10"/>
              <c:layout>
                <c:manualLayout>
                  <c:x val="-1.2924071082390954E-2"/>
                  <c:y val="-3.2407407407407406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2E-410D-9919-0DC5BA6E1521}"/>
                </c:ext>
              </c:extLst>
            </c:dLbl>
            <c:dLbl>
              <c:idx val="11"/>
              <c:layout>
                <c:manualLayout>
                  <c:x val="-9.4776521270867151E-2"/>
                  <c:y val="-0.11574074074074074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32E-410D-9919-0DC5BA6E15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SCATTERPLOT!$E$8:$E$22</c:f>
              <c:numCache>
                <c:formatCode>0.00</c:formatCode>
                <c:ptCount val="15"/>
                <c:pt idx="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932E-410D-9919-0DC5BA6E1521}"/>
            </c:ext>
          </c:extLst>
        </c:ser>
        <c:ser>
          <c:idx val="4"/>
          <c:order val="1"/>
          <c:tx>
            <c:strRef>
              <c:f>SCATTERPLOT!$F$7</c:f>
              <c:strCache>
                <c:ptCount val="1"/>
                <c:pt idx="0">
                  <c:v>Energy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6"/>
            <c:spPr>
              <a:solidFill>
                <a:schemeClr val="tx2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1.5078252536688165E-2"/>
                  <c:y val="8.333260425780110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Энергетика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32E-410D-9919-0DC5BA6E1521}"/>
                </c:ext>
              </c:extLst>
            </c:dLbl>
            <c:dLbl>
              <c:idx val="1"/>
              <c:layout>
                <c:manualLayout>
                  <c:x val="-7.6489978332676109E-2"/>
                  <c:y val="-0.18981590842811319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Энергетика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96068928379107"/>
                      <c:h val="5.1990740740740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932E-410D-9919-0DC5BA6E1521}"/>
                </c:ext>
              </c:extLst>
            </c:dLbl>
            <c:dLbl>
              <c:idx val="2"/>
              <c:layout>
                <c:manualLayout>
                  <c:x val="-7.8833950279639922E-2"/>
                  <c:y val="-5.061132983377077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Энергетика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2E-410D-9919-0DC5BA6E1521}"/>
                </c:ext>
              </c:extLst>
            </c:dLbl>
            <c:dLbl>
              <c:idx val="3"/>
              <c:layout>
                <c:manualLayout>
                  <c:x val="5.1320095488871648E-2"/>
                  <c:y val="4.5349227179935843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32E-410D-9919-0DC5BA6E1521}"/>
                </c:ext>
              </c:extLst>
            </c:dLbl>
            <c:dLbl>
              <c:idx val="4"/>
              <c:layout>
                <c:manualLayout>
                  <c:x val="-0.16585891222401719"/>
                  <c:y val="-8.3333333333333329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2E-410D-9919-0DC5BA6E1521}"/>
                </c:ext>
              </c:extLst>
            </c:dLbl>
            <c:dLbl>
              <c:idx val="8"/>
              <c:layout>
                <c:manualLayout>
                  <c:x val="0"/>
                  <c:y val="-6.4814814814814811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32E-410D-9919-0DC5BA6E15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SCATTERPLOT!$F$8:$F$22</c:f>
              <c:numCache>
                <c:formatCode>0.00</c:formatCode>
                <c:ptCount val="15"/>
                <c:pt idx="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2-932E-410D-9919-0DC5BA6E1521}"/>
            </c:ext>
          </c:extLst>
        </c:ser>
        <c:ser>
          <c:idx val="2"/>
          <c:order val="2"/>
          <c:tx>
            <c:strRef>
              <c:f>SCATTERPLOT!$D$7</c:f>
              <c:strCache>
                <c:ptCount val="1"/>
                <c:pt idx="0">
                  <c:v>Monetary system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4"/>
            <c:spPr>
              <a:solidFill>
                <a:schemeClr val="accent2"/>
              </a:solidFill>
              <a:ln>
                <a:noFill/>
              </a:ln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3-932E-410D-9919-0DC5BA6E152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4-932E-410D-9919-0DC5BA6E1521}"/>
              </c:ext>
            </c:extLst>
          </c:dPt>
          <c:dLbls>
            <c:dLbl>
              <c:idx val="0"/>
              <c:layout>
                <c:manualLayout>
                  <c:x val="-9.6930146196447936E-3"/>
                  <c:y val="0.19063083155068036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Монетарная система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76090468497575"/>
                      <c:h val="6.69444444444444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932E-410D-9919-0DC5BA6E1521}"/>
                </c:ext>
              </c:extLst>
            </c:dLbl>
            <c:dLbl>
              <c:idx val="1"/>
              <c:layout>
                <c:manualLayout>
                  <c:x val="-9.1839856851496149E-2"/>
                  <c:y val="-9.4907954214056581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Монетарная</a:t>
                    </a:r>
                    <a:r>
                      <a:rPr lang="uk-UA" baseline="0">
                        <a:latin typeface="Georgia" panose="02040502050405020303" pitchFamily="18" charset="0"/>
                      </a:rPr>
                      <a:t> система</a:t>
                    </a:r>
                    <a:endParaRPr lang="uk-UA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4932687129779"/>
                      <c:h val="0.143449256342957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932E-410D-9919-0DC5BA6E1521}"/>
                </c:ext>
              </c:extLst>
            </c:dLbl>
            <c:dLbl>
              <c:idx val="2"/>
              <c:layout>
                <c:manualLayout>
                  <c:x val="-1.2734280589724346E-2"/>
                  <c:y val="-3.472313356663750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Монетарная система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52665589660743"/>
                      <c:h val="6.69444444444444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932E-410D-9919-0DC5BA6E1521}"/>
                </c:ext>
              </c:extLst>
            </c:dLbl>
            <c:dLbl>
              <c:idx val="3"/>
              <c:layout>
                <c:manualLayout>
                  <c:x val="-2.1929875889907947E-2"/>
                  <c:y val="-1.620461504811902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Монетарная система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99084544964997"/>
                      <c:h val="7.6203703703703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932E-410D-9919-0DC5BA6E1521}"/>
                </c:ext>
              </c:extLst>
            </c:dLbl>
            <c:dLbl>
              <c:idx val="4"/>
              <c:layout>
                <c:manualLayout>
                  <c:x val="-0.18093699515347339"/>
                  <c:y val="-6.481609069699624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Монетарная</a:t>
                    </a:r>
                    <a:r>
                      <a:rPr lang="uk-UA" baseline="0"/>
                      <a:t> система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822832525578893"/>
                      <c:h val="6.12499999999999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932E-410D-9919-0DC5BA6E1521}"/>
                </c:ext>
              </c:extLst>
            </c:dLbl>
            <c:dLbl>
              <c:idx val="5"/>
              <c:layout>
                <c:manualLayout>
                  <c:x val="-2.339511276760841E-2"/>
                  <c:y val="-0.10939195100612424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2E-410D-9919-0DC5BA6E1521}"/>
                </c:ext>
              </c:extLst>
            </c:dLbl>
            <c:dLbl>
              <c:idx val="6"/>
              <c:layout>
                <c:manualLayout>
                  <c:x val="-3.2310347313209434E-2"/>
                  <c:y val="-4.113444152814231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Монетарная</a:t>
                    </a:r>
                    <a:r>
                      <a:rPr lang="uk-UA" baseline="0"/>
                      <a:t> система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32E-410D-9919-0DC5BA6E1521}"/>
                </c:ext>
              </c:extLst>
            </c:dLbl>
            <c:dLbl>
              <c:idx val="7"/>
              <c:layout>
                <c:manualLayout>
                  <c:x val="-5.6004308023694049E-2"/>
                  <c:y val="0.1111111111111111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32E-410D-9919-0DC5BA6E15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SCATTERPLOT!$D$8:$D$22</c:f>
              <c:numCache>
                <c:formatCode>0.00</c:formatCode>
                <c:ptCount val="15"/>
                <c:pt idx="2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B-932E-410D-9919-0DC5BA6E1521}"/>
            </c:ext>
          </c:extLst>
        </c:ser>
        <c:ser>
          <c:idx val="5"/>
          <c:order val="3"/>
          <c:tx>
            <c:strRef>
              <c:f>SCATTERPLOT!$B$7</c:f>
              <c:strCache>
                <c:ptCount val="1"/>
                <c:pt idx="0">
                  <c:v>Governance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1"/>
            <c:spPr>
              <a:solidFill>
                <a:srgbClr val="00B0F0"/>
              </a:solidFill>
              <a:ln>
                <a:noFill/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C-932E-410D-9919-0DC5BA6E1521}"/>
              </c:ext>
            </c:extLst>
          </c:dPt>
          <c:dLbls>
            <c:dLbl>
              <c:idx val="0"/>
              <c:layout>
                <c:manualLayout>
                  <c:x val="-9.0705500946906565E-3"/>
                  <c:y val="0.13751896439245664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Georgia" panose="02040502050405020303" pitchFamily="18" charset="0"/>
                      </a:rPr>
                      <a:t>Государственное</a:t>
                    </a:r>
                    <a:r>
                      <a:rPr lang="uk-UA" baseline="0">
                        <a:latin typeface="Georgia" panose="02040502050405020303" pitchFamily="18" charset="0"/>
                      </a:rPr>
                      <a:t> управление</a:t>
                    </a:r>
                    <a:endParaRPr lang="uk-UA">
                      <a:latin typeface="Georgia" panose="02040502050405020303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45511980630851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932E-410D-9919-0DC5BA6E1521}"/>
                </c:ext>
              </c:extLst>
            </c:dLbl>
            <c:dLbl>
              <c:idx val="1"/>
              <c:layout>
                <c:manualLayout>
                  <c:x val="-0.10629904799059103"/>
                  <c:y val="-0.11272984843657549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Государственное управление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39913245900806"/>
                      <c:h val="8.7893700787401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C-932E-410D-9919-0DC5BA6E1521}"/>
                </c:ext>
              </c:extLst>
            </c:dLbl>
            <c:dLbl>
              <c:idx val="2"/>
              <c:layout>
                <c:manualLayout>
                  <c:x val="-0.19170713919241517"/>
                  <c:y val="-0.12037037037037036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Государственное управление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74098007539037"/>
                      <c:h val="0.115601851851851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E-932E-410D-9919-0DC5BA6E1521}"/>
                </c:ext>
              </c:extLst>
            </c:dLbl>
            <c:dLbl>
              <c:idx val="3"/>
              <c:layout>
                <c:manualLayout>
                  <c:x val="-2.8002323619079117E-2"/>
                  <c:y val="-6.249963546223393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Государственное</a:t>
                    </a:r>
                    <a:r>
                      <a:rPr lang="uk-UA" baseline="0"/>
                      <a:t> управление</a:t>
                    </a: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990306946688209"/>
                      <c:h val="6.01159230096237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F-932E-410D-9919-0DC5BA6E1521}"/>
                </c:ext>
              </c:extLst>
            </c:dLbl>
            <c:dLbl>
              <c:idx val="4"/>
              <c:layout>
                <c:manualLayout>
                  <c:x val="-2.1540118470651667E-2"/>
                  <c:y val="-9.1134441528142313E-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Государственное</a:t>
                    </a:r>
                    <a:r>
                      <a:rPr lang="uk-UA" baseline="0"/>
                      <a:t> управлкние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606901318272214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0-932E-410D-9919-0DC5BA6E1521}"/>
                </c:ext>
              </c:extLst>
            </c:dLbl>
            <c:dLbl>
              <c:idx val="5"/>
              <c:layout>
                <c:manualLayout>
                  <c:x val="-7.2159396876682907E-2"/>
                  <c:y val="-0.1412044327792359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Государственное управление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24394184168013"/>
                      <c:h val="6.467592592592592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1-932E-410D-9919-0DC5BA6E1521}"/>
                </c:ext>
              </c:extLst>
            </c:dLbl>
            <c:dLbl>
              <c:idx val="6"/>
              <c:layout>
                <c:manualLayout>
                  <c:x val="-2.1540118470651667E-2"/>
                  <c:y val="-7.8703703703703706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32E-410D-9919-0DC5BA6E1521}"/>
                </c:ext>
              </c:extLst>
            </c:dLbl>
            <c:dLbl>
              <c:idx val="7"/>
              <c:layout>
                <c:manualLayout>
                  <c:x val="-3.8772213247172858E-2"/>
                  <c:y val="-5.0925925925925881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932E-410D-9919-0DC5BA6E1521}"/>
                </c:ext>
              </c:extLst>
            </c:dLbl>
            <c:dLbl>
              <c:idx val="8"/>
              <c:layout>
                <c:manualLayout>
                  <c:x val="-4.092622509423794E-2"/>
                  <c:y val="0.10185185185185189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932E-410D-9919-0DC5BA6E1521}"/>
                </c:ext>
              </c:extLst>
            </c:dLbl>
            <c:dLbl>
              <c:idx val="9"/>
              <c:layout>
                <c:manualLayout>
                  <c:x val="-0.10770059235325795"/>
                  <c:y val="-0.11574074074074074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932E-410D-9919-0DC5BA6E1521}"/>
                </c:ext>
              </c:extLst>
            </c:dLbl>
            <c:dLbl>
              <c:idx val="10"/>
              <c:layout>
                <c:manualLayout>
                  <c:x val="-1.2924071082390954E-2"/>
                  <c:y val="-4.6296296296296294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932E-410D-9919-0DC5BA6E1521}"/>
                </c:ext>
              </c:extLst>
            </c:dLbl>
            <c:dLbl>
              <c:idx val="12"/>
              <c:layout>
                <c:manualLayout>
                  <c:x val="-1.0770059235325636E-2"/>
                  <c:y val="-9.2592592592592587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932E-410D-9919-0DC5BA6E1521}"/>
                </c:ext>
              </c:extLst>
            </c:dLbl>
            <c:dLbl>
              <c:idx val="14"/>
              <c:layout>
                <c:manualLayout>
                  <c:x val="-3.0156165858912065E-2"/>
                  <c:y val="-4.1666666666666664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932E-410D-9919-0DC5BA6E15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SCATTERPLOT!$B$8:$B$22</c:f>
              <c:numCache>
                <c:formatCode>0.00</c:formatCode>
                <c:ptCount val="15"/>
                <c:pt idx="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9-932E-410D-9919-0DC5BA6E1521}"/>
            </c:ext>
          </c:extLst>
        </c:ser>
        <c:ser>
          <c:idx val="1"/>
          <c:order val="4"/>
          <c:tx>
            <c:strRef>
              <c:f>SCATTERPLOT!$C$7</c:f>
              <c:strCache>
                <c:ptCount val="1"/>
                <c:pt idx="0">
                  <c:v>Public Finance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rgbClr val="00A400"/>
              </a:solidFill>
              <a:ln w="6350">
                <a:noFill/>
              </a:ln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2A-932E-410D-9919-0DC5BA6E152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2B-932E-410D-9919-0DC5BA6E1521}"/>
              </c:ext>
            </c:extLst>
          </c:dPt>
          <c:dLbls>
            <c:dLbl>
              <c:idx val="0"/>
              <c:layout>
                <c:manualLayout>
                  <c:x val="-7.5390414647280562E-3"/>
                  <c:y val="8.1017789442986293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 финансы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597729807198977"/>
                      <c:h val="5.08566637503645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A-932E-410D-9919-0DC5BA6E1521}"/>
                </c:ext>
              </c:extLst>
            </c:dLbl>
            <c:dLbl>
              <c:idx val="1"/>
              <c:layout>
                <c:manualLayout>
                  <c:x val="-0.1014856680073975"/>
                  <c:y val="-9.9812631802527571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</a:t>
                    </a:r>
                    <a:r>
                      <a:rPr lang="uk-UA" sz="900" baseline="0">
                        <a:latin typeface="Georgia" panose="02040502050405020303" pitchFamily="18" charset="0"/>
                      </a:rPr>
                      <a:t> финансы</a:t>
                    </a:r>
                    <a:endParaRPr lang="uk-UA" sz="900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789983844911146"/>
                      <c:h val="6.93055555555555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B-932E-410D-9919-0DC5BA6E1521}"/>
                </c:ext>
              </c:extLst>
            </c:dLbl>
            <c:dLbl>
              <c:idx val="2"/>
              <c:layout>
                <c:manualLayout>
                  <c:x val="-0.18896043487294298"/>
                  <c:y val="-9.7257946923301294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</a:t>
                    </a:r>
                    <a:r>
                      <a:rPr lang="uk-UA" sz="900" baseline="0">
                        <a:latin typeface="Georgia" panose="02040502050405020303" pitchFamily="18" charset="0"/>
                      </a:rPr>
                      <a:t> финансы</a:t>
                    </a:r>
                    <a:endParaRPr lang="uk-UA" sz="900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528809908454496"/>
                      <c:h val="9.24537037037037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C-932E-410D-9919-0DC5BA6E1521}"/>
                </c:ext>
              </c:extLst>
            </c:dLbl>
            <c:dLbl>
              <c:idx val="3"/>
              <c:layout>
                <c:manualLayout>
                  <c:x val="-1.4509813898464631E-2"/>
                  <c:y val="2.7777048702245552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 финансы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34078757118198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D-932E-410D-9919-0DC5BA6E1521}"/>
                </c:ext>
              </c:extLst>
            </c:dLbl>
            <c:dLbl>
              <c:idx val="4"/>
              <c:layout>
                <c:manualLayout>
                  <c:x val="-9.0969686947452236E-3"/>
                  <c:y val="-2.3148148148148147E-3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</a:t>
                    </a:r>
                    <a:r>
                      <a:rPr lang="uk-UA" sz="900" baseline="0">
                        <a:latin typeface="Georgia" panose="02040502050405020303" pitchFamily="18" charset="0"/>
                      </a:rPr>
                      <a:t> финансы</a:t>
                    </a:r>
                    <a:endParaRPr lang="uk-UA" sz="900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073058315206558"/>
                      <c:h val="8.7893700787401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E-932E-410D-9919-0DC5BA6E1521}"/>
                </c:ext>
              </c:extLst>
            </c:dLbl>
            <c:dLbl>
              <c:idx val="5"/>
              <c:layout>
                <c:manualLayout>
                  <c:x val="-0.13785675821217025"/>
                  <c:y val="-5.502405949256342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Государственные</a:t>
                    </a:r>
                    <a:r>
                      <a:rPr lang="uk-UA" baseline="0"/>
                      <a:t> финасы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932E-410D-9919-0DC5BA6E1521}"/>
                </c:ext>
              </c:extLst>
            </c:dLbl>
            <c:dLbl>
              <c:idx val="7"/>
              <c:layout>
                <c:manualLayout>
                  <c:x val="-8.5245901639344229E-2"/>
                  <c:y val="-9.7222222222222265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932E-410D-9919-0DC5BA6E1521}"/>
                </c:ext>
              </c:extLst>
            </c:dLbl>
            <c:dLbl>
              <c:idx val="8"/>
              <c:layout>
                <c:manualLayout>
                  <c:x val="-9.4776521270867151E-2"/>
                  <c:y val="9.2592592592592587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932E-410D-9919-0DC5BA6E1521}"/>
                </c:ext>
              </c:extLst>
            </c:dLbl>
            <c:dLbl>
              <c:idx val="9"/>
              <c:layout>
                <c:manualLayout>
                  <c:x val="-2.9021154262017731E-2"/>
                  <c:y val="-8.846566054243219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Государственные финансы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932E-410D-9919-0DC5BA6E1521}"/>
                </c:ext>
              </c:extLst>
            </c:dLbl>
            <c:dLbl>
              <c:idx val="10"/>
              <c:layout>
                <c:manualLayout>
                  <c:x val="0"/>
                  <c:y val="1.8518518518518517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932E-410D-9919-0DC5BA6E15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 sz="900"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SCATTERPLOT!$C$8:$C$22</c:f>
              <c:numCache>
                <c:formatCode>0.00</c:formatCode>
                <c:ptCount val="15"/>
                <c:pt idx="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34-932E-410D-9919-0DC5BA6E15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14779264"/>
        <c:axId val="114779840"/>
      </c:scatterChart>
      <c:valAx>
        <c:axId val="114779264"/>
        <c:scaling>
          <c:orientation val="minMax"/>
          <c:max val="1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r>
                  <a:rPr lang="uk-UA">
                    <a:latin typeface="Georgia" panose="02040502050405020303" pitchFamily="18" charset="0"/>
                  </a:rPr>
                  <a:t>Количество событий</a:t>
                </a:r>
                <a:endParaRPr lang="en-US">
                  <a:latin typeface="Georgia" panose="02040502050405020303" pitchFamily="18" charset="0"/>
                </a:endParaRPr>
              </a:p>
            </c:rich>
          </c:tx>
          <c:layout>
            <c:manualLayout>
              <c:xMode val="edge"/>
              <c:yMode val="edge"/>
              <c:x val="0.77733894733271425"/>
              <c:y val="0.5834025955088948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>
                <a:latin typeface="Georgia" panose="02040502050405020303" pitchFamily="18" charset="0"/>
              </a:defRPr>
            </a:pPr>
            <a:endParaRPr lang="uk-UA"/>
          </a:p>
        </c:txPr>
        <c:crossAx val="114779840"/>
        <c:crosses val="autoZero"/>
        <c:crossBetween val="midCat"/>
      </c:valAx>
      <c:valAx>
        <c:axId val="114779840"/>
        <c:scaling>
          <c:orientation val="minMax"/>
          <c:max val="5"/>
          <c:min val="-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 algn="r" rtl="0">
                  <a:defRPr sz="800">
                    <a:latin typeface="Georgia" panose="02040502050405020303" pitchFamily="18" charset="0"/>
                  </a:defRPr>
                </a:pPr>
                <a:r>
                  <a:rPr lang="uk-UA" sz="800">
                    <a:latin typeface="Georgia" panose="02040502050405020303" pitchFamily="18" charset="0"/>
                  </a:rPr>
                  <a:t>Медиана экспернтых оценок (баллы)</a:t>
                </a:r>
                <a:r>
                  <a:rPr lang="en-US" sz="800">
                    <a:latin typeface="Georgia" panose="02040502050405020303" pitchFamily="18" charset="0"/>
                  </a:rPr>
                  <a:t> </a:t>
                </a:r>
                <a:endParaRPr lang="uk-UA" sz="800">
                  <a:latin typeface="Georgia" panose="02040502050405020303" pitchFamily="18" charset="0"/>
                </a:endParaRPr>
              </a:p>
              <a:p>
                <a:pPr algn="r" rtl="0">
                  <a:defRPr sz="800">
                    <a:latin typeface="Georgia" panose="02040502050405020303" pitchFamily="18" charset="0"/>
                  </a:defRPr>
                </a:pPr>
                <a:endParaRPr lang="en-US" sz="800">
                  <a:latin typeface="Georgia" panose="02040502050405020303" pitchFamily="18" charset="0"/>
                </a:endParaRPr>
              </a:p>
            </c:rich>
          </c:tx>
          <c:layout>
            <c:manualLayout>
              <c:xMode val="edge"/>
              <c:yMode val="edge"/>
              <c:x val="4.3080236941303175E-2"/>
              <c:y val="0.1329509332166812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Georgia" panose="02040502050405020303" pitchFamily="18" charset="0"/>
              </a:defRPr>
            </a:pPr>
            <a:endParaRPr lang="uk-UA"/>
          </a:p>
        </c:txPr>
        <c:crossAx val="114779264"/>
        <c:crosses val="autoZero"/>
        <c:crossBetween val="midCat"/>
        <c:maj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solidFill>
            <a:schemeClr val="tx1"/>
          </a:solidFill>
        </a:defRPr>
      </a:pPr>
      <a:endParaRPr lang="uk-UA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0.84057</cdr:x>
      <cdr:y>0.68142</cdr:y>
    </cdr:from>
    <cdr:to>
      <cdr:x>0.95245</cdr:x>
      <cdr:y>0.85841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36047" y="733426"/>
          <a:ext cx="670298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800">
              <a:latin typeface="Georgia" panose="02040502050405020303" pitchFamily="18" charset="0"/>
            </a:rPr>
            <a:t>Медіана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8107-B5F4-4DE7-8E56-548777B9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5292</Words>
  <Characters>3017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Соломия</dc:creator>
  <cp:keywords/>
  <dc:description/>
  <cp:lastModifiedBy>sliep</cp:lastModifiedBy>
  <cp:revision>41</cp:revision>
  <cp:lastPrinted>2018-03-06T18:44:00Z</cp:lastPrinted>
  <dcterms:created xsi:type="dcterms:W3CDTF">2017-11-20T00:41:00Z</dcterms:created>
  <dcterms:modified xsi:type="dcterms:W3CDTF">2018-12-21T10:02:00Z</dcterms:modified>
</cp:coreProperties>
</file>